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B9" w:rsidRPr="00494CB1" w:rsidRDefault="00F61FB9" w:rsidP="00F61FB9">
      <w:pPr>
        <w:tabs>
          <w:tab w:val="left" w:pos="0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000000"/>
          <w:lang w:val="es-AR" w:eastAsia="es-AR"/>
        </w:rPr>
      </w:pPr>
      <w:bookmarkStart w:id="0" w:name="_GoBack"/>
      <w:bookmarkEnd w:id="0"/>
      <w:r w:rsidRPr="00494CB1">
        <w:rPr>
          <w:rFonts w:ascii="Courier New" w:hAnsi="Courier New" w:cs="Courier New"/>
          <w:b/>
          <w:bCs/>
          <w:color w:val="000000"/>
          <w:lang w:val="es-AR" w:eastAsia="es-AR"/>
        </w:rPr>
        <w:t xml:space="preserve">ANEXO I </w:t>
      </w:r>
    </w:p>
    <w:p w:rsidR="00F61FB9" w:rsidRPr="00494CB1" w:rsidRDefault="00F61FB9" w:rsidP="00F61FB9">
      <w:pPr>
        <w:tabs>
          <w:tab w:val="left" w:pos="0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000000"/>
          <w:lang w:val="es-AR" w:eastAsia="es-AR"/>
        </w:rPr>
      </w:pPr>
      <w:r w:rsidRPr="00494CB1">
        <w:rPr>
          <w:rFonts w:ascii="Courier New" w:hAnsi="Courier New" w:cs="Courier New"/>
          <w:b/>
          <w:bCs/>
          <w:color w:val="000000"/>
          <w:lang w:val="es-AR" w:eastAsia="es-AR"/>
        </w:rPr>
        <w:t>REGLAS OPERATIVAS  DE LAS CUENTAS CORRIENTES ESPECIALES PARA FONDOS PERMANENTES CON EMISION DE TARJETA DE DEBITO</w:t>
      </w:r>
    </w:p>
    <w:p w:rsidR="00F61FB9" w:rsidRDefault="00F61FB9" w:rsidP="00F61FB9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b/>
          <w:bCs/>
          <w:color w:val="000000"/>
          <w:lang w:val="es-AR" w:eastAsia="es-AR"/>
        </w:rPr>
      </w:pPr>
    </w:p>
    <w:p w:rsidR="00F61FB9" w:rsidRPr="000E4003" w:rsidRDefault="00F61FB9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>ARTICULO 1º: Las cuentas corrientes especiales forman parte de la cuenta unificada del Tesoro Provincial y estarán identificadas, en forma unívoca, por su denominación conforme la norma que le dé origen.</w:t>
      </w:r>
    </w:p>
    <w:p w:rsidR="00F61FB9" w:rsidRPr="000E4003" w:rsidRDefault="00F61FB9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>ARTICULO 2º: Las cuentas operaran con cuatro (4) responsables firmantes: un (1) Responsable, un (1) subresponsable del fondo permanente</w:t>
      </w:r>
      <w:r w:rsidR="000E4003">
        <w:rPr>
          <w:rFonts w:ascii="Courier New" w:hAnsi="Courier New" w:cs="Courier New"/>
          <w:color w:val="000000"/>
          <w:lang w:val="es-AR" w:eastAsia="es-AR"/>
        </w:rPr>
        <w:t>, ambos</w:t>
      </w:r>
      <w:r w:rsidRPr="000E4003">
        <w:rPr>
          <w:rFonts w:ascii="Courier New" w:hAnsi="Courier New" w:cs="Courier New"/>
          <w:color w:val="000000"/>
          <w:lang w:val="es-AR" w:eastAsia="es-AR"/>
        </w:rPr>
        <w:t xml:space="preserve"> designados por</w:t>
      </w:r>
      <w:r w:rsidR="000E4003">
        <w:rPr>
          <w:rFonts w:ascii="Courier New" w:hAnsi="Courier New" w:cs="Courier New"/>
          <w:color w:val="000000"/>
          <w:lang w:val="es-AR" w:eastAsia="es-AR"/>
        </w:rPr>
        <w:t xml:space="preserve"> el Sr. Administrador General, </w:t>
      </w:r>
      <w:r w:rsidRPr="000E4003">
        <w:rPr>
          <w:rFonts w:ascii="Courier New" w:hAnsi="Courier New" w:cs="Courier New"/>
          <w:color w:val="000000"/>
          <w:lang w:val="es-AR" w:eastAsia="es-AR"/>
        </w:rPr>
        <w:t xml:space="preserve">y el Tesorero y Subtesorero del Poder Judicial del Neuquén. </w:t>
      </w:r>
    </w:p>
    <w:p w:rsidR="00F61FB9" w:rsidRPr="000E4003" w:rsidRDefault="000E4003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 xml:space="preserve">ARTICULO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3</w:t>
      </w:r>
      <w:r>
        <w:rPr>
          <w:rFonts w:ascii="Courier New" w:hAnsi="Courier New" w:cs="Courier New"/>
          <w:color w:val="000000"/>
          <w:lang w:val="es-AR" w:eastAsia="es-AR"/>
        </w:rPr>
        <w:t>°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: El número de CUIL </w:t>
      </w:r>
      <w:r>
        <w:rPr>
          <w:rFonts w:ascii="Courier New" w:hAnsi="Courier New" w:cs="Courier New"/>
          <w:color w:val="000000"/>
          <w:lang w:val="es-AR" w:eastAsia="es-AR"/>
        </w:rPr>
        <w:t xml:space="preserve"> de las tarjetas de débito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corresponderá al de los agentes del Poder Judicial, conforme ANEXO A de las presentes reglas operativas. </w:t>
      </w:r>
    </w:p>
    <w:p w:rsidR="00F61FB9" w:rsidRPr="000E4003" w:rsidRDefault="000E4003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 xml:space="preserve">ARTICULO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4</w:t>
      </w:r>
      <w:r>
        <w:rPr>
          <w:rFonts w:ascii="Courier New" w:hAnsi="Courier New" w:cs="Courier New"/>
          <w:color w:val="000000"/>
          <w:lang w:val="es-AR" w:eastAsia="es-AR"/>
        </w:rPr>
        <w:t>°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: Las cuentas corrientes especiales precitadas serán administradas </w:t>
      </w:r>
      <w:r w:rsidR="006E3678">
        <w:rPr>
          <w:rFonts w:ascii="Courier New" w:hAnsi="Courier New" w:cs="Courier New"/>
          <w:color w:val="000000"/>
          <w:lang w:val="es-AR" w:eastAsia="es-AR"/>
        </w:rPr>
        <w:t xml:space="preserve">en cuanto al soporte documental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por el Departamento Tesorería de la Dirección General de Administración del Poder Judicial del Neuquén.</w:t>
      </w:r>
      <w:r w:rsidRPr="000E4003">
        <w:rPr>
          <w:rFonts w:ascii="Tahoma" w:hAnsi="Tahoma" w:cs="Tahoma"/>
          <w:color w:val="000000"/>
          <w:sz w:val="22"/>
          <w:szCs w:val="22"/>
          <w:lang w:val="es-AR" w:eastAsia="es-AR"/>
        </w:rPr>
        <w:t xml:space="preserve"> </w:t>
      </w:r>
      <w:r w:rsidRPr="000E4003">
        <w:rPr>
          <w:rFonts w:ascii="Courier New" w:hAnsi="Courier New" w:cs="Courier New"/>
          <w:color w:val="000000"/>
          <w:lang w:val="es-AR" w:eastAsia="es-AR"/>
        </w:rPr>
        <w:t>Cada Cuenta operará con el depósito de fondos ordenado</w:t>
      </w:r>
      <w:r w:rsidR="006E3678">
        <w:rPr>
          <w:rFonts w:ascii="Courier New" w:hAnsi="Courier New" w:cs="Courier New"/>
          <w:color w:val="000000"/>
          <w:lang w:val="es-AR" w:eastAsia="es-AR"/>
        </w:rPr>
        <w:t xml:space="preserve"> por dicho Departamento</w:t>
      </w:r>
      <w:r w:rsidRPr="000E4003">
        <w:rPr>
          <w:rFonts w:ascii="Courier New" w:hAnsi="Courier New" w:cs="Courier New"/>
          <w:color w:val="000000"/>
          <w:lang w:val="es-AR" w:eastAsia="es-AR"/>
        </w:rPr>
        <w:t>, con reposición periódica del importe rendido.</w:t>
      </w:r>
    </w:p>
    <w:p w:rsidR="000E4003" w:rsidRPr="000E4003" w:rsidRDefault="00F61FB9" w:rsidP="000E4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>ARTICULO 5</w:t>
      </w:r>
      <w:r w:rsidR="000E4003">
        <w:rPr>
          <w:rFonts w:ascii="Courier New" w:hAnsi="Courier New" w:cs="Courier New"/>
          <w:color w:val="000000"/>
          <w:lang w:val="es-AR" w:eastAsia="es-AR"/>
        </w:rPr>
        <w:t>°</w:t>
      </w:r>
      <w:r w:rsidRPr="000E4003">
        <w:rPr>
          <w:rFonts w:ascii="Courier New" w:hAnsi="Courier New" w:cs="Courier New"/>
          <w:color w:val="000000"/>
          <w:lang w:val="es-AR" w:eastAsia="es-AR"/>
        </w:rPr>
        <w:t>:</w:t>
      </w:r>
      <w:r w:rsidR="000E4003">
        <w:rPr>
          <w:rFonts w:ascii="Courier New" w:hAnsi="Courier New" w:cs="Courier New"/>
          <w:color w:val="000000"/>
          <w:lang w:val="es-AR" w:eastAsia="es-AR"/>
        </w:rPr>
        <w:t xml:space="preserve"> </w:t>
      </w:r>
      <w:r w:rsidR="000E4003" w:rsidRPr="000E4003">
        <w:rPr>
          <w:rFonts w:ascii="Courier New" w:hAnsi="Courier New" w:cs="Courier New"/>
          <w:color w:val="000000"/>
          <w:lang w:val="es-AR" w:eastAsia="es-AR"/>
        </w:rPr>
        <w:t>Cada titular tendrá plenas facultades para operar sobre el 100% de los fondos disponibles. No podrá asignarse o habilitarse sobre estas cuenta</w:t>
      </w:r>
      <w:r w:rsidR="00D41F72">
        <w:rPr>
          <w:rFonts w:ascii="Courier New" w:hAnsi="Courier New" w:cs="Courier New"/>
          <w:color w:val="000000"/>
          <w:lang w:val="es-AR" w:eastAsia="es-AR"/>
        </w:rPr>
        <w:t>s ninguna operación de crédito, en descubierto</w:t>
      </w:r>
      <w:r w:rsidR="000E4003" w:rsidRPr="000E4003">
        <w:rPr>
          <w:rFonts w:ascii="Courier New" w:hAnsi="Courier New" w:cs="Courier New"/>
          <w:color w:val="000000"/>
          <w:lang w:val="es-AR" w:eastAsia="es-AR"/>
        </w:rPr>
        <w:t xml:space="preserve"> o cargos que excedan los saldos disponibles a la vista.</w:t>
      </w:r>
    </w:p>
    <w:p w:rsidR="000E4003" w:rsidRDefault="000E4003" w:rsidP="000E4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es-AR" w:eastAsia="es-AR"/>
        </w:rPr>
      </w:pPr>
    </w:p>
    <w:p w:rsidR="000E4003" w:rsidRPr="000E4003" w:rsidRDefault="00CF2708" w:rsidP="000E4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6</w:t>
      </w:r>
      <w:r w:rsidR="00B9090C">
        <w:rPr>
          <w:rFonts w:ascii="Courier New" w:hAnsi="Courier New" w:cs="Courier New"/>
          <w:color w:val="000000"/>
          <w:lang w:val="es-AR" w:eastAsia="es-AR"/>
        </w:rPr>
        <w:t>°</w:t>
      </w:r>
      <w:r>
        <w:rPr>
          <w:rFonts w:ascii="Courier New" w:hAnsi="Courier New" w:cs="Courier New"/>
          <w:color w:val="000000"/>
          <w:lang w:val="es-AR" w:eastAsia="es-AR"/>
        </w:rPr>
        <w:t>:</w:t>
      </w:r>
      <w:r w:rsidR="000E4003" w:rsidRPr="000E4003">
        <w:rPr>
          <w:rFonts w:ascii="Courier New" w:hAnsi="Courier New" w:cs="Courier New"/>
          <w:color w:val="000000"/>
          <w:lang w:val="es-AR" w:eastAsia="es-AR"/>
        </w:rPr>
        <w:t xml:space="preserve"> Cada Cuenta Corriente tendrá vedada la utilización del cheque y/o provisión de chequera, salvo que </w:t>
      </w:r>
      <w:r w:rsidR="000E4003" w:rsidRPr="000E4003">
        <w:rPr>
          <w:rFonts w:ascii="Courier New" w:hAnsi="Courier New" w:cs="Courier New"/>
          <w:color w:val="000000"/>
          <w:lang w:val="es-AR" w:eastAsia="es-AR"/>
        </w:rPr>
        <w:lastRenderedPageBreak/>
        <w:t>un acto expreso de la Administración del Poder Judicial así lo autorice.</w:t>
      </w:r>
    </w:p>
    <w:p w:rsidR="000E4003" w:rsidRDefault="000E4003" w:rsidP="000E4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lang w:val="es-AR" w:eastAsia="es-AR"/>
        </w:rPr>
      </w:pPr>
    </w:p>
    <w:p w:rsidR="000E4003" w:rsidRDefault="000E4003" w:rsidP="000E4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 xml:space="preserve">ARTICULO </w:t>
      </w:r>
      <w:r>
        <w:rPr>
          <w:rFonts w:ascii="Courier New" w:hAnsi="Courier New" w:cs="Courier New"/>
          <w:color w:val="000000"/>
          <w:lang w:val="es-AR" w:eastAsia="es-AR"/>
        </w:rPr>
        <w:t>7</w:t>
      </w:r>
      <w:r w:rsidR="00B9090C">
        <w:rPr>
          <w:rFonts w:ascii="Courier New" w:hAnsi="Courier New" w:cs="Courier New"/>
          <w:color w:val="000000"/>
          <w:lang w:val="es-AR" w:eastAsia="es-AR"/>
        </w:rPr>
        <w:t>°</w:t>
      </w:r>
      <w:r w:rsidR="00CF2708">
        <w:rPr>
          <w:rFonts w:ascii="Courier New" w:hAnsi="Courier New" w:cs="Courier New"/>
          <w:color w:val="000000"/>
          <w:lang w:val="es-AR" w:eastAsia="es-AR"/>
        </w:rPr>
        <w:t>:</w:t>
      </w:r>
      <w:r w:rsidRPr="000E4003">
        <w:rPr>
          <w:rFonts w:ascii="Courier New" w:hAnsi="Courier New" w:cs="Courier New"/>
          <w:color w:val="000000"/>
          <w:lang w:val="es-AR" w:eastAsia="es-AR"/>
        </w:rPr>
        <w:t xml:space="preserve"> Cada Cuenta Corriente tendrá cancelada e inhabilitada cualquier operación o alcanc</w:t>
      </w:r>
      <w:r>
        <w:rPr>
          <w:rFonts w:ascii="Courier New" w:hAnsi="Courier New" w:cs="Courier New"/>
          <w:color w:val="000000"/>
          <w:lang w:val="es-AR" w:eastAsia="es-AR"/>
        </w:rPr>
        <w:t>e de "sistema de pago diferido.</w:t>
      </w:r>
    </w:p>
    <w:p w:rsidR="006E3678" w:rsidRDefault="006E3678" w:rsidP="006E367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</w:p>
    <w:p w:rsidR="006E3678" w:rsidRPr="006E3678" w:rsidRDefault="006E3678" w:rsidP="006E367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>ARTICULO</w:t>
      </w:r>
      <w:r w:rsidRPr="006E3678">
        <w:rPr>
          <w:rFonts w:ascii="Courier New" w:hAnsi="Courier New" w:cs="Courier New"/>
          <w:color w:val="000000"/>
          <w:lang w:val="es-AR" w:eastAsia="es-AR"/>
        </w:rPr>
        <w:t xml:space="preserve"> </w:t>
      </w:r>
      <w:r>
        <w:rPr>
          <w:rFonts w:ascii="Courier New" w:hAnsi="Courier New" w:cs="Courier New"/>
          <w:color w:val="000000"/>
          <w:lang w:val="es-AR" w:eastAsia="es-AR"/>
        </w:rPr>
        <w:t xml:space="preserve">8°: </w:t>
      </w:r>
      <w:r w:rsidRPr="006E3678">
        <w:rPr>
          <w:rFonts w:ascii="Courier New" w:hAnsi="Courier New" w:cs="Courier New"/>
          <w:color w:val="000000"/>
          <w:lang w:val="es-AR" w:eastAsia="es-AR"/>
        </w:rPr>
        <w:t>La operación de la cuenta corriente se deberá producir con "tarjeta de débito a nombre individual de cada titular  -sistema maestro o similar-", pudiendo así realizar pagos por adquisiciones en comercios por el sistema "</w:t>
      </w:r>
      <w:proofErr w:type="spellStart"/>
      <w:r w:rsidRPr="006E3678">
        <w:rPr>
          <w:rFonts w:ascii="Courier New" w:hAnsi="Courier New" w:cs="Courier New"/>
          <w:color w:val="000000"/>
          <w:lang w:val="es-AR" w:eastAsia="es-AR"/>
        </w:rPr>
        <w:t>posnet</w:t>
      </w:r>
      <w:proofErr w:type="spellEnd"/>
      <w:r w:rsidRPr="006E3678">
        <w:rPr>
          <w:rFonts w:ascii="Courier New" w:hAnsi="Courier New" w:cs="Courier New"/>
          <w:color w:val="000000"/>
          <w:lang w:val="es-AR" w:eastAsia="es-AR"/>
        </w:rPr>
        <w:t>" o realizar retiro de fondos por ventanilla o cajero automático de la red.</w:t>
      </w:r>
    </w:p>
    <w:p w:rsidR="006E3678" w:rsidRPr="006E3678" w:rsidRDefault="006E3678" w:rsidP="006E367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</w:p>
    <w:p w:rsidR="006E3678" w:rsidRPr="006E3678" w:rsidRDefault="006E3678" w:rsidP="006E367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>ARTICULO</w:t>
      </w:r>
      <w:r w:rsidRPr="006E3678">
        <w:rPr>
          <w:rFonts w:ascii="Courier New" w:hAnsi="Courier New" w:cs="Courier New"/>
          <w:color w:val="000000"/>
          <w:lang w:val="es-AR" w:eastAsia="es-AR"/>
        </w:rPr>
        <w:t xml:space="preserve"> </w:t>
      </w:r>
      <w:r>
        <w:rPr>
          <w:rFonts w:ascii="Courier New" w:hAnsi="Courier New" w:cs="Courier New"/>
          <w:color w:val="000000"/>
          <w:lang w:val="es-AR" w:eastAsia="es-AR"/>
        </w:rPr>
        <w:t>9°</w:t>
      </w:r>
      <w:r w:rsidR="00CF2708">
        <w:rPr>
          <w:rFonts w:ascii="Courier New" w:hAnsi="Courier New" w:cs="Courier New"/>
          <w:color w:val="000000"/>
          <w:lang w:val="es-AR" w:eastAsia="es-AR"/>
        </w:rPr>
        <w:t>:</w:t>
      </w:r>
      <w:r w:rsidRPr="006E3678">
        <w:rPr>
          <w:rFonts w:ascii="Courier New" w:hAnsi="Courier New" w:cs="Courier New"/>
          <w:color w:val="000000"/>
          <w:lang w:val="es-AR" w:eastAsia="es-AR"/>
        </w:rPr>
        <w:t xml:space="preserve"> Cada Cuenta Corriente estará exceptuada de igual forma y amplitud que todas las cuentas oficiales del Poder Judicial (no estarán sujetas a débitos u operaciones, nada más que las que realicen sus titulares directos, ni gravadas con tributos y/o gastos ni comisiones de cualquier índole).</w:t>
      </w:r>
    </w:p>
    <w:p w:rsidR="000E4003" w:rsidRDefault="000E4003" w:rsidP="000E4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</w:p>
    <w:p w:rsidR="00F61FB9" w:rsidRPr="000E4003" w:rsidRDefault="006E367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10</w:t>
      </w:r>
      <w:r w:rsidR="000E4003">
        <w:rPr>
          <w:rFonts w:ascii="Courier New" w:hAnsi="Courier New" w:cs="Courier New"/>
          <w:color w:val="000000"/>
          <w:lang w:val="es-AR" w:eastAsia="es-AR"/>
        </w:rPr>
        <w:t>°</w:t>
      </w:r>
      <w:r w:rsidR="00CF2708">
        <w:rPr>
          <w:rFonts w:ascii="Courier New" w:hAnsi="Courier New" w:cs="Courier New"/>
          <w:color w:val="000000"/>
          <w:lang w:val="es-AR" w:eastAsia="es-AR"/>
        </w:rPr>
        <w:t>:</w:t>
      </w:r>
      <w:r w:rsidR="000E4003">
        <w:rPr>
          <w:rFonts w:ascii="Courier New" w:hAnsi="Courier New" w:cs="Courier New"/>
          <w:color w:val="000000"/>
          <w:lang w:val="es-AR" w:eastAsia="es-AR"/>
        </w:rPr>
        <w:t xml:space="preserve">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La Resolución anual de la Administración General, que establece la apertura de las actuaciones administrativas para las Cajas</w:t>
      </w:r>
      <w:r w:rsidR="000E4003">
        <w:rPr>
          <w:rFonts w:ascii="Courier New" w:hAnsi="Courier New" w:cs="Courier New"/>
          <w:color w:val="000000"/>
          <w:lang w:val="es-AR" w:eastAsia="es-AR"/>
        </w:rPr>
        <w:t xml:space="preserve"> Chicas y Fondos Permanentes,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habilitará el primer anticipo por transferencia a la</w:t>
      </w:r>
      <w:r>
        <w:rPr>
          <w:rFonts w:ascii="Courier New" w:hAnsi="Courier New" w:cs="Courier New"/>
          <w:color w:val="000000"/>
          <w:lang w:val="es-AR" w:eastAsia="es-AR"/>
        </w:rPr>
        <w:t>s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cuenta</w:t>
      </w:r>
      <w:r>
        <w:rPr>
          <w:rFonts w:ascii="Courier New" w:hAnsi="Courier New" w:cs="Courier New"/>
          <w:color w:val="000000"/>
          <w:lang w:val="es-AR" w:eastAsia="es-AR"/>
        </w:rPr>
        <w:t>s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corriente</w:t>
      </w:r>
      <w:r>
        <w:rPr>
          <w:rFonts w:ascii="Courier New" w:hAnsi="Courier New" w:cs="Courier New"/>
          <w:color w:val="000000"/>
          <w:lang w:val="es-AR" w:eastAsia="es-AR"/>
        </w:rPr>
        <w:t>s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especial</w:t>
      </w:r>
      <w:r>
        <w:rPr>
          <w:rFonts w:ascii="Courier New" w:hAnsi="Courier New" w:cs="Courier New"/>
          <w:color w:val="000000"/>
          <w:lang w:val="es-AR" w:eastAsia="es-AR"/>
        </w:rPr>
        <w:t>es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.</w:t>
      </w:r>
    </w:p>
    <w:p w:rsidR="00F61FB9" w:rsidRPr="000E4003" w:rsidRDefault="006E367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11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º: </w:t>
      </w:r>
      <w:r>
        <w:rPr>
          <w:rFonts w:ascii="Courier New" w:hAnsi="Courier New" w:cs="Courier New"/>
          <w:color w:val="000000"/>
          <w:lang w:val="es-AR" w:eastAsia="es-AR"/>
        </w:rPr>
        <w:t>Las autorizaciones de Cajas Chicas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y Fondos Permanentes, con posterioridad </w:t>
      </w:r>
      <w:r>
        <w:rPr>
          <w:rFonts w:ascii="Courier New" w:hAnsi="Courier New" w:cs="Courier New"/>
          <w:color w:val="000000"/>
          <w:lang w:val="es-AR" w:eastAsia="es-AR"/>
        </w:rPr>
        <w:t>al momento indicado en el artículo anterior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, dará lugar al procedimiento de apertura de la cuenta corriente especial previsto en la Ley de Administración Financiera y Control y su habilitación bancaria respectiva.</w:t>
      </w:r>
    </w:p>
    <w:p w:rsidR="00F61FB9" w:rsidRPr="000E4003" w:rsidRDefault="006E367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lastRenderedPageBreak/>
        <w:t>ARTICULO 12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º: Los responsables de las cajas chicas y fondos permanentes deberán enviar a la Dirección General de Administración –Departamento Tesorería-, en forma mensual, todos los comprobantes bancarios como resultado de las operaciones realizadas con tarjeta de débito, depósitos/extracciones por cajero automático o por ventanilla. La rendición será practicada en el Formulario conforme el ANEXO B de las presentes reglas operativas. En caso de no haberse registrado operaciones en ese período, deberá remitir el formulario con la consigna “SIN OPERACIONES BANCARIAS”. </w:t>
      </w:r>
    </w:p>
    <w:p w:rsidR="00F61FB9" w:rsidRPr="000E4003" w:rsidRDefault="006E367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13º: La documentación del artículo precedente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deberá ser enviada por correo electrónico, con los comprobantes digitalizados. Para el caso de aquellos organismos que no cuenten con el servicio de  </w:t>
      </w:r>
      <w:r>
        <w:rPr>
          <w:rFonts w:ascii="Courier New" w:hAnsi="Courier New" w:cs="Courier New"/>
          <w:color w:val="000000"/>
          <w:lang w:val="es-AR" w:eastAsia="es-AR"/>
        </w:rPr>
        <w:t xml:space="preserve">internet, podrán enviarlo mediante soporte papel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dentro de los cinco (5) días de cerrado el mes calendario.</w:t>
      </w:r>
    </w:p>
    <w:p w:rsidR="00F61FB9" w:rsidRPr="000E4003" w:rsidRDefault="006E367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14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º: El Departamento Tesorería registrará todos los débitos y créditos originados por las operaciones realizadas por los responsables firmantes de las cuentas corrientes, en forma mensual, y procederá a realizar las respectivas conciliaciones con la información bancaria. Toda diferencia que surja de tal operación deberá ser notificada a los responsables para ser subsanada en el término de 96 horas hábiles.</w:t>
      </w:r>
    </w:p>
    <w:p w:rsidR="00F61FB9" w:rsidRPr="000E4003" w:rsidRDefault="006E367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15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º: Las reposiciones de fon</w:t>
      </w:r>
      <w:r>
        <w:rPr>
          <w:rFonts w:ascii="Courier New" w:hAnsi="Courier New" w:cs="Courier New"/>
          <w:color w:val="000000"/>
          <w:lang w:val="es-AR" w:eastAsia="es-AR"/>
        </w:rPr>
        <w:t>dos se realizaran mediante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transferencia bancaria a la cuenta corriente especial, conforme la rendición documental realizada por cada organismo de acuerdo a lo establecido por el Reglamento para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lastRenderedPageBreak/>
        <w:t>la Administración de Fondos Permanentes y Cajas Chicas, Acuerdo Nº 3483 del Tribunal Superior de Justicia.</w:t>
      </w:r>
    </w:p>
    <w:p w:rsidR="00F61FB9" w:rsidRPr="000E4003" w:rsidRDefault="00CF270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16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º: El responsable titular</w:t>
      </w:r>
      <w:r>
        <w:rPr>
          <w:rFonts w:ascii="Courier New" w:hAnsi="Courier New" w:cs="Courier New"/>
          <w:color w:val="000000"/>
          <w:lang w:val="es-AR" w:eastAsia="es-AR"/>
        </w:rPr>
        <w:t xml:space="preserve"> del fondo permanente utilizará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la tarjeta de débito de la cuenta corriente especial en todas las operaciones originadas para su funcionamiento. </w:t>
      </w:r>
    </w:p>
    <w:p w:rsidR="00F61FB9" w:rsidRPr="000E4003" w:rsidRDefault="00CF270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17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º: En caso de ausencia del titul</w:t>
      </w:r>
      <w:r>
        <w:rPr>
          <w:rFonts w:ascii="Courier New" w:hAnsi="Courier New" w:cs="Courier New"/>
          <w:color w:val="000000"/>
          <w:lang w:val="es-AR" w:eastAsia="es-AR"/>
        </w:rPr>
        <w:t xml:space="preserve">ar, la  facultad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será asumida</w:t>
      </w:r>
      <w:r>
        <w:rPr>
          <w:rFonts w:ascii="Courier New" w:hAnsi="Courier New" w:cs="Courier New"/>
          <w:color w:val="000000"/>
          <w:lang w:val="es-AR" w:eastAsia="es-AR"/>
        </w:rPr>
        <w:t xml:space="preserve"> por el subresponsable firmante.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  </w:t>
      </w:r>
    </w:p>
    <w:p w:rsidR="00F61FB9" w:rsidRPr="000E4003" w:rsidRDefault="00CF270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18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º: Para los responsables fi</w:t>
      </w:r>
      <w:r>
        <w:rPr>
          <w:rFonts w:ascii="Courier New" w:hAnsi="Courier New" w:cs="Courier New"/>
          <w:color w:val="000000"/>
          <w:lang w:val="es-AR" w:eastAsia="es-AR"/>
        </w:rPr>
        <w:t xml:space="preserve">rmantes de los Juzgados de Paz 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se habilitará una tarjeta de débito, debiendo prever en su ausencia el titular del Juzgado o quien ejerza ese cargo, la asignación de fondos para quién haga las veces de suplente. </w:t>
      </w:r>
    </w:p>
    <w:p w:rsidR="00F61FB9" w:rsidRPr="000E4003" w:rsidRDefault="00CF270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19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º: En el mes de Diciembre de cada año el responsable del fondo permanente procederá a la devolución de los fondos no utilizados, de conformidad a lo establecido en el artículo Nº 17 del Reglamento para la Administración de Fondos Permanentes y Cajas Chicas, Acuerdo Nº 3483 del Tribunal Superior de Justicia.</w:t>
      </w:r>
    </w:p>
    <w:p w:rsidR="00F61FB9" w:rsidRPr="000E4003" w:rsidRDefault="00CF2708" w:rsidP="000E4003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>
        <w:rPr>
          <w:rFonts w:ascii="Courier New" w:hAnsi="Courier New" w:cs="Courier New"/>
          <w:color w:val="000000"/>
          <w:lang w:val="es-AR" w:eastAsia="es-AR"/>
        </w:rPr>
        <w:t>ARTICULO 20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 xml:space="preserve">º: </w:t>
      </w:r>
      <w:r>
        <w:rPr>
          <w:rFonts w:ascii="Courier New" w:hAnsi="Courier New" w:cs="Courier New"/>
          <w:color w:val="000000"/>
          <w:lang w:val="es-AR" w:eastAsia="es-AR"/>
        </w:rPr>
        <w:t>los saldos que no fueran cancelados conforme lo dispuesto en el artículo precedente, serán  trasferidos e</w:t>
      </w:r>
      <w:r w:rsidR="00F61FB9" w:rsidRPr="000E4003">
        <w:rPr>
          <w:rFonts w:ascii="Courier New" w:hAnsi="Courier New" w:cs="Courier New"/>
          <w:color w:val="000000"/>
          <w:lang w:val="es-AR" w:eastAsia="es-AR"/>
        </w:rPr>
        <w:t>l último día hábil del mes de Diciembre de cada año</w:t>
      </w:r>
      <w:r>
        <w:rPr>
          <w:rFonts w:ascii="Courier New" w:hAnsi="Courier New" w:cs="Courier New"/>
          <w:color w:val="000000"/>
          <w:lang w:val="es-AR" w:eastAsia="es-AR"/>
        </w:rPr>
        <w:t xml:space="preserve"> a la cuenta N° 122/2 “Gastos Justicia”, desde  el Departamento Tesorería.</w:t>
      </w:r>
    </w:p>
    <w:p w:rsidR="0025044D" w:rsidRPr="00B9090C" w:rsidRDefault="00F61FB9" w:rsidP="00B9090C">
      <w:pPr>
        <w:autoSpaceDE w:val="0"/>
        <w:autoSpaceDN w:val="0"/>
        <w:adjustRightInd w:val="0"/>
        <w:spacing w:after="240" w:line="360" w:lineRule="auto"/>
        <w:jc w:val="both"/>
        <w:rPr>
          <w:rFonts w:ascii="Courier New" w:hAnsi="Courier New" w:cs="Courier New"/>
          <w:color w:val="000000"/>
          <w:lang w:val="es-AR" w:eastAsia="es-AR"/>
        </w:rPr>
      </w:pPr>
      <w:r w:rsidRPr="000E4003">
        <w:rPr>
          <w:rFonts w:ascii="Courier New" w:hAnsi="Courier New" w:cs="Courier New"/>
          <w:color w:val="000000"/>
          <w:lang w:val="es-AR" w:eastAsia="es-AR"/>
        </w:rPr>
        <w:t>A</w:t>
      </w:r>
      <w:r w:rsidR="00CF2708">
        <w:rPr>
          <w:rFonts w:ascii="Courier New" w:hAnsi="Courier New" w:cs="Courier New"/>
          <w:color w:val="000000"/>
          <w:lang w:val="es-AR" w:eastAsia="es-AR"/>
        </w:rPr>
        <w:t>RTICULO 21</w:t>
      </w:r>
      <w:r w:rsidRPr="000E4003">
        <w:rPr>
          <w:rFonts w:ascii="Courier New" w:hAnsi="Courier New" w:cs="Courier New"/>
          <w:color w:val="000000"/>
          <w:lang w:val="es-AR" w:eastAsia="es-AR"/>
        </w:rPr>
        <w:t>º: En caso de extravío o sustracción de la tarjeta de débito el responsable o subresponsable de la cue</w:t>
      </w:r>
      <w:r w:rsidR="00D41F72">
        <w:rPr>
          <w:rFonts w:ascii="Courier New" w:hAnsi="Courier New" w:cs="Courier New"/>
          <w:color w:val="000000"/>
          <w:lang w:val="es-AR" w:eastAsia="es-AR"/>
        </w:rPr>
        <w:t>nta corriente especial deberá denunciar</w:t>
      </w:r>
      <w:r w:rsidRPr="000E4003">
        <w:rPr>
          <w:rFonts w:ascii="Courier New" w:hAnsi="Courier New" w:cs="Courier New"/>
          <w:color w:val="000000"/>
          <w:lang w:val="es-AR" w:eastAsia="es-AR"/>
        </w:rPr>
        <w:t xml:space="preserve"> de inmedi</w:t>
      </w:r>
      <w:r w:rsidR="00D41F72">
        <w:rPr>
          <w:rFonts w:ascii="Courier New" w:hAnsi="Courier New" w:cs="Courier New"/>
          <w:color w:val="000000"/>
          <w:lang w:val="es-AR" w:eastAsia="es-AR"/>
        </w:rPr>
        <w:t xml:space="preserve">ato, a la entidad bancaria y posteriormente </w:t>
      </w:r>
      <w:r w:rsidRPr="000E4003">
        <w:rPr>
          <w:rFonts w:ascii="Courier New" w:hAnsi="Courier New" w:cs="Courier New"/>
          <w:color w:val="000000"/>
          <w:lang w:val="es-AR" w:eastAsia="es-AR"/>
        </w:rPr>
        <w:t>al Departamento de Tesorería de la Dirección General de Administración.</w:t>
      </w:r>
    </w:p>
    <w:sectPr w:rsidR="0025044D" w:rsidRPr="00B9090C" w:rsidSect="000E400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9"/>
    <w:rsid w:val="000C2A7B"/>
    <w:rsid w:val="000E4003"/>
    <w:rsid w:val="0025044D"/>
    <w:rsid w:val="002B1AC9"/>
    <w:rsid w:val="002D55B8"/>
    <w:rsid w:val="00337A01"/>
    <w:rsid w:val="003D5294"/>
    <w:rsid w:val="00494CB1"/>
    <w:rsid w:val="006E3678"/>
    <w:rsid w:val="00881E05"/>
    <w:rsid w:val="00931C9F"/>
    <w:rsid w:val="00B9090C"/>
    <w:rsid w:val="00BF5891"/>
    <w:rsid w:val="00CF2708"/>
    <w:rsid w:val="00D41F72"/>
    <w:rsid w:val="00E4095A"/>
    <w:rsid w:val="00EE03A7"/>
    <w:rsid w:val="00F61FB9"/>
    <w:rsid w:val="00F7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Cristobal Lopez Novau</dc:creator>
  <cp:lastModifiedBy>Gustavo Lucero</cp:lastModifiedBy>
  <cp:revision>2</cp:revision>
  <cp:lastPrinted>2015-05-12T03:41:00Z</cp:lastPrinted>
  <dcterms:created xsi:type="dcterms:W3CDTF">2015-05-12T13:56:00Z</dcterms:created>
  <dcterms:modified xsi:type="dcterms:W3CDTF">2015-05-12T13:56:00Z</dcterms:modified>
</cp:coreProperties>
</file>