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A0" w:rsidRPr="00540061" w:rsidRDefault="001175A0" w:rsidP="001175A0">
      <w:pPr>
        <w:pStyle w:val="Ttulo1"/>
        <w:spacing w:line="360" w:lineRule="auto"/>
        <w:jc w:val="center"/>
        <w:rPr>
          <w:rFonts w:ascii="Courier New" w:hAnsi="Courier New" w:cs="Courier New"/>
        </w:rPr>
      </w:pPr>
      <w:r w:rsidRPr="00540061">
        <w:rPr>
          <w:rFonts w:ascii="Courier New" w:hAnsi="Courier New" w:cs="Courier New"/>
        </w:rPr>
        <w:t>PROYECTO DE</w:t>
      </w:r>
    </w:p>
    <w:p w:rsidR="001175A0" w:rsidRPr="00540061" w:rsidRDefault="001175A0" w:rsidP="001175A0">
      <w:pPr>
        <w:pStyle w:val="Ttulo1"/>
        <w:spacing w:line="360" w:lineRule="auto"/>
        <w:jc w:val="center"/>
        <w:rPr>
          <w:rFonts w:ascii="Courier New" w:hAnsi="Courier New" w:cs="Courier New"/>
        </w:rPr>
      </w:pPr>
      <w:r w:rsidRPr="00540061">
        <w:rPr>
          <w:rFonts w:ascii="Courier New" w:hAnsi="Courier New" w:cs="Courier New"/>
        </w:rPr>
        <w:t>LEY ORGÁNICA DEL PODER JUDICIAL- FUERO PENAL.</w:t>
      </w:r>
    </w:p>
    <w:p w:rsidR="001175A0" w:rsidRPr="00540061" w:rsidRDefault="001175A0" w:rsidP="001175A0">
      <w:pPr>
        <w:pStyle w:val="Ttulo1"/>
        <w:spacing w:line="360" w:lineRule="auto"/>
        <w:jc w:val="center"/>
        <w:rPr>
          <w:rFonts w:ascii="Courier New" w:hAnsi="Courier New" w:cs="Courier New"/>
        </w:rPr>
      </w:pPr>
      <w:r w:rsidRPr="00540061">
        <w:rPr>
          <w:rFonts w:ascii="Courier New" w:hAnsi="Courier New" w:cs="Courier New"/>
        </w:rPr>
        <w:t>ADECUACIÓN DE LOS TRIBUNALES</w:t>
      </w:r>
    </w:p>
    <w:p w:rsidR="001175A0" w:rsidRPr="00540061" w:rsidRDefault="001175A0" w:rsidP="001175A0">
      <w:pPr>
        <w:pStyle w:val="Ttulo1"/>
        <w:spacing w:line="360" w:lineRule="auto"/>
        <w:jc w:val="center"/>
        <w:rPr>
          <w:rFonts w:ascii="Courier New" w:hAnsi="Courier New" w:cs="Courier New"/>
        </w:rPr>
      </w:pPr>
      <w:r w:rsidRPr="00540061">
        <w:rPr>
          <w:rFonts w:ascii="Courier New" w:hAnsi="Courier New" w:cs="Courier New"/>
        </w:rPr>
        <w:t>PENALES A LA LEY PROVINCIAL 2784.</w:t>
      </w:r>
    </w:p>
    <w:p w:rsidR="001175A0" w:rsidRPr="00540061" w:rsidRDefault="001175A0" w:rsidP="001175A0">
      <w:pPr>
        <w:pStyle w:val="Piedepgina"/>
        <w:tabs>
          <w:tab w:val="clear" w:pos="4252"/>
          <w:tab w:val="clear" w:pos="8504"/>
        </w:tabs>
        <w:jc w:val="center"/>
        <w:rPr>
          <w:rFonts w:cs="Courier New"/>
          <w:szCs w:val="24"/>
        </w:rPr>
      </w:pPr>
    </w:p>
    <w:p w:rsidR="001175A0" w:rsidRPr="00540061" w:rsidRDefault="001175A0" w:rsidP="001175A0">
      <w:pPr>
        <w:pStyle w:val="Piedepgina"/>
        <w:tabs>
          <w:tab w:val="clear" w:pos="4252"/>
          <w:tab w:val="clear" w:pos="8504"/>
        </w:tabs>
        <w:jc w:val="center"/>
        <w:rPr>
          <w:rFonts w:cs="Courier New"/>
          <w:szCs w:val="24"/>
        </w:rPr>
      </w:pPr>
    </w:p>
    <w:p w:rsidR="001175A0" w:rsidRPr="00540061" w:rsidRDefault="001175A0" w:rsidP="001175A0">
      <w:pPr>
        <w:jc w:val="center"/>
        <w:rPr>
          <w:rFonts w:cs="Courier New"/>
          <w:szCs w:val="24"/>
          <w:lang w:val="es-ES_tradnl"/>
        </w:rPr>
      </w:pPr>
      <w:r w:rsidRPr="00540061">
        <w:rPr>
          <w:rFonts w:cs="Courier New"/>
          <w:szCs w:val="24"/>
          <w:lang w:val="es-ES_tradnl"/>
        </w:rPr>
        <w:t>Exposición de Motivos del</w:t>
      </w:r>
    </w:p>
    <w:p w:rsidR="001175A0" w:rsidRPr="00540061" w:rsidRDefault="001175A0" w:rsidP="001175A0">
      <w:pPr>
        <w:jc w:val="center"/>
        <w:rPr>
          <w:rFonts w:cs="Courier New"/>
          <w:szCs w:val="24"/>
          <w:lang w:val="es-ES_tradnl"/>
        </w:rPr>
      </w:pPr>
      <w:r w:rsidRPr="00540061">
        <w:rPr>
          <w:rFonts w:cs="Courier New"/>
          <w:szCs w:val="24"/>
          <w:lang w:val="es-ES_tradnl"/>
        </w:rPr>
        <w:t>Proyecto de Ley para la adecuación</w:t>
      </w:r>
    </w:p>
    <w:p w:rsidR="001175A0" w:rsidRPr="00540061" w:rsidRDefault="001175A0" w:rsidP="001175A0">
      <w:pPr>
        <w:jc w:val="center"/>
        <w:rPr>
          <w:rFonts w:cs="Courier New"/>
          <w:szCs w:val="24"/>
          <w:lang w:val="es-ES_tradnl"/>
        </w:rPr>
      </w:pPr>
      <w:proofErr w:type="gramStart"/>
      <w:r w:rsidRPr="00540061">
        <w:rPr>
          <w:rFonts w:cs="Courier New"/>
          <w:szCs w:val="24"/>
          <w:lang w:val="es-ES_tradnl"/>
        </w:rPr>
        <w:t>de</w:t>
      </w:r>
      <w:proofErr w:type="gramEnd"/>
      <w:r w:rsidRPr="00540061">
        <w:rPr>
          <w:rFonts w:cs="Courier New"/>
          <w:szCs w:val="24"/>
          <w:lang w:val="es-ES_tradnl"/>
        </w:rPr>
        <w:t xml:space="preserve"> los Tribunales Penales</w:t>
      </w:r>
    </w:p>
    <w:p w:rsidR="001175A0" w:rsidRPr="00540061" w:rsidRDefault="001175A0" w:rsidP="001175A0">
      <w:pPr>
        <w:jc w:val="center"/>
        <w:rPr>
          <w:rFonts w:cs="Courier New"/>
          <w:szCs w:val="24"/>
          <w:lang w:val="es-ES_tradnl"/>
        </w:rPr>
      </w:pPr>
      <w:proofErr w:type="gramStart"/>
      <w:r w:rsidRPr="00540061">
        <w:rPr>
          <w:rFonts w:cs="Courier New"/>
          <w:szCs w:val="24"/>
          <w:lang w:val="es-ES_tradnl"/>
        </w:rPr>
        <w:t>a</w:t>
      </w:r>
      <w:proofErr w:type="gramEnd"/>
      <w:r w:rsidRPr="00540061">
        <w:rPr>
          <w:rFonts w:cs="Courier New"/>
          <w:szCs w:val="24"/>
          <w:lang w:val="es-ES_tradnl"/>
        </w:rPr>
        <w:t xml:space="preserve"> las disposiciones de la Ley 2784</w:t>
      </w:r>
      <w:r w:rsidRPr="00540061">
        <w:rPr>
          <w:rStyle w:val="Refdenotaalpie"/>
          <w:rFonts w:cs="Courier New"/>
          <w:szCs w:val="24"/>
        </w:rPr>
        <w:footnoteReference w:customMarkFollows="1" w:id="1"/>
        <w:sym w:font="Symbol" w:char="F02A"/>
      </w:r>
      <w:r w:rsidRPr="00540061">
        <w:rPr>
          <w:rFonts w:cs="Courier New"/>
          <w:szCs w:val="24"/>
          <w:lang w:val="es-ES_tradnl"/>
        </w:rPr>
        <w:t>.</w:t>
      </w:r>
    </w:p>
    <w:p w:rsidR="001175A0" w:rsidRPr="00540061" w:rsidRDefault="001175A0" w:rsidP="001175A0">
      <w:pPr>
        <w:jc w:val="center"/>
        <w:rPr>
          <w:rFonts w:cs="Courier New"/>
          <w:szCs w:val="24"/>
          <w:lang w:val="es-ES_tradnl"/>
        </w:rPr>
      </w:pPr>
    </w:p>
    <w:p w:rsidR="001175A0" w:rsidRPr="00540061" w:rsidRDefault="001175A0" w:rsidP="001175A0">
      <w:pPr>
        <w:jc w:val="center"/>
        <w:rPr>
          <w:rFonts w:cs="Courier New"/>
          <w:szCs w:val="24"/>
          <w:lang w:val="es-ES_tradnl"/>
        </w:rPr>
      </w:pPr>
      <w:r w:rsidRPr="00540061">
        <w:rPr>
          <w:rFonts w:cs="Courier New"/>
          <w:szCs w:val="24"/>
          <w:u w:val="single"/>
          <w:lang w:val="es-ES_tradnl"/>
        </w:rPr>
        <w:t>Introducción</w:t>
      </w:r>
      <w:r w:rsidRPr="00540061">
        <w:rPr>
          <w:rFonts w:cs="Courier New"/>
          <w:szCs w:val="24"/>
          <w:lang w:val="es-ES_tradnl"/>
        </w:rPr>
        <w:t>.</w:t>
      </w:r>
    </w:p>
    <w:p w:rsidR="001175A0" w:rsidRPr="00540061" w:rsidRDefault="001175A0" w:rsidP="001175A0">
      <w:pPr>
        <w:jc w:val="center"/>
        <w:rPr>
          <w:rFonts w:cs="Courier New"/>
          <w:szCs w:val="24"/>
          <w:lang w:val="es-ES_tradnl"/>
        </w:rPr>
      </w:pP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Luego de más de una década de profundos debates acerca de la necesidad de modernizar el procedimiento penal en la Provincia del Neuquén, por decisión conjunta de los tres Poderes del Estado se sancionó en Noviembre de 2011 un nuevo Código Procesal Penal, mediante la Ley Nº 2784. </w:t>
      </w: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Dicho código es, sin duda, el más moderno sistema procesal penal sancionado hasta la actualidad en toda Latinoamérica, constituyendo un ejemplo de respeto de las garantías constitucionales. Entre otros aspectos se ha </w:t>
      </w:r>
      <w:r w:rsidRPr="00540061">
        <w:rPr>
          <w:rFonts w:cs="Courier New"/>
          <w:szCs w:val="24"/>
        </w:rPr>
        <w:lastRenderedPageBreak/>
        <w:t xml:space="preserve">logrado, por ejemplo, la implementación del sistema de juicio por jurados bajo el modelo anglosajón, luego de 158 años de vigencia de la Constitución Nacional, involucrando y comprometiendo así a la ciudadanía en la realización de la justicia en los casos de mayor gravedad y repercusión social. </w:t>
      </w: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Este sistema procesal requiere para su implementación la elaboración de una nueva Ley Orgánica para el Fuero Penal, ya que todos los organismos judiciales del área penal deben reestructurarse adecuándose al nuevo diseño del código sancionado. </w:t>
      </w:r>
    </w:p>
    <w:p w:rsidR="001175A0" w:rsidRPr="00540061" w:rsidRDefault="001175A0" w:rsidP="001175A0">
      <w:pPr>
        <w:rPr>
          <w:rFonts w:cs="Courier New"/>
          <w:szCs w:val="24"/>
        </w:rPr>
      </w:pPr>
    </w:p>
    <w:p w:rsidR="001175A0" w:rsidRPr="00540061" w:rsidRDefault="001175A0" w:rsidP="001175A0">
      <w:pPr>
        <w:jc w:val="center"/>
        <w:rPr>
          <w:rFonts w:cs="Courier New"/>
          <w:szCs w:val="24"/>
          <w:u w:val="single"/>
        </w:rPr>
      </w:pPr>
      <w:r w:rsidRPr="00540061">
        <w:rPr>
          <w:rFonts w:cs="Courier New"/>
          <w:szCs w:val="24"/>
          <w:u w:val="single"/>
        </w:rPr>
        <w:t xml:space="preserve">Tribunal de Impugnación y </w:t>
      </w:r>
    </w:p>
    <w:p w:rsidR="001175A0" w:rsidRPr="00540061" w:rsidRDefault="001175A0" w:rsidP="001175A0">
      <w:pPr>
        <w:jc w:val="center"/>
        <w:rPr>
          <w:rFonts w:cs="Courier New"/>
          <w:szCs w:val="24"/>
        </w:rPr>
      </w:pPr>
      <w:r w:rsidRPr="00540061">
        <w:rPr>
          <w:rFonts w:cs="Courier New"/>
          <w:szCs w:val="24"/>
          <w:u w:val="single"/>
        </w:rPr>
        <w:t>Colegio de jueces</w:t>
      </w:r>
      <w:r w:rsidRPr="00540061">
        <w:rPr>
          <w:rFonts w:cs="Courier New"/>
          <w:szCs w:val="24"/>
        </w:rPr>
        <w:t>.</w:t>
      </w:r>
    </w:p>
    <w:p w:rsidR="001175A0" w:rsidRPr="00540061" w:rsidRDefault="001175A0" w:rsidP="001175A0">
      <w:pPr>
        <w:jc w:val="center"/>
        <w:rPr>
          <w:rFonts w:cs="Courier New"/>
          <w:szCs w:val="24"/>
        </w:rPr>
      </w:pP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Conforme el nuevo Código Procesal Penal el Tribunal Superior de Justicia se reserva la función de Tribunal de control constitucional exclusivamente, creándose un Tribunal de Impugnación como instancia de apelación ordinaria con competencia para resolver las sentencias definitivas, sobreseimientos, denegatoria de suspensión del juicio a prueba, aquellas decisiones que impongan, mantengan o rechacen medidas de coerción, y todos los autos procesales importantes (cf. Art. 233 CPP). </w:t>
      </w: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Se diseñó un Tribunal de Impugnación integrado por los magistrados con categoría administrativa MF 2. El número de sus integrantes responde a la necesidad de dar respuesta en los tiempos que exige el nuevo código</w:t>
      </w:r>
      <w:r w:rsidRPr="00540061">
        <w:rPr>
          <w:rStyle w:val="Refdenotaalpie"/>
          <w:rFonts w:cs="Courier New"/>
          <w:szCs w:val="24"/>
        </w:rPr>
        <w:footnoteReference w:id="2"/>
      </w:r>
      <w:r w:rsidRPr="00540061">
        <w:rPr>
          <w:rFonts w:cs="Courier New"/>
          <w:szCs w:val="24"/>
        </w:rPr>
        <w:t xml:space="preserve"> para la resolución de las apelaciones ordinarias incoadas, valorando especialmente que frente a la imposibilidad de </w:t>
      </w:r>
      <w:r w:rsidRPr="00540061">
        <w:rPr>
          <w:rFonts w:cs="Courier New"/>
          <w:szCs w:val="24"/>
        </w:rPr>
        <w:lastRenderedPageBreak/>
        <w:t>dictar sentencia en el plazo indicado el nuevo código admite la resolución ficta</w:t>
      </w:r>
      <w:r w:rsidRPr="00540061">
        <w:rPr>
          <w:rStyle w:val="Refdenotaalpie"/>
          <w:rFonts w:cs="Courier New"/>
          <w:szCs w:val="24"/>
        </w:rPr>
        <w:footnoteReference w:id="3"/>
      </w:r>
      <w:r w:rsidRPr="00540061">
        <w:rPr>
          <w:rFonts w:cs="Courier New"/>
          <w:szCs w:val="24"/>
        </w:rPr>
        <w:t xml:space="preserve">. </w:t>
      </w: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Asimismo se contempló la carga de trabajo que recibirá con el traspaso al nuevo sistema, ya que las Casaciones que se encuentren en trámite ante este Tribunal, al momento de entrada en vigencia del nuevo Código deberán ser resueltas por el Tribunal de Impugnación. También la posibilidad de apertura a prueba en un proceso por audiencias, que instaura una dinámica de trabajo, absolutamente diferente de la actual. Por último se valoró la necesidad de establecer un Colegio de jueces horizontal, y se estimó que el modo de hacerlo era reuniendo a todos los jueces penales de la misma categoría, como punto de partida de la Reforma. </w:t>
      </w:r>
    </w:p>
    <w:p w:rsidR="001175A0" w:rsidRPr="00540061" w:rsidRDefault="001175A0" w:rsidP="001175A0">
      <w:pPr>
        <w:rPr>
          <w:rFonts w:cs="Courier New"/>
          <w:szCs w:val="24"/>
        </w:rPr>
      </w:pPr>
      <w:r w:rsidRPr="00540061">
        <w:rPr>
          <w:rFonts w:cs="Courier New"/>
          <w:szCs w:val="24"/>
        </w:rPr>
        <w:tab/>
        <w:t xml:space="preserve">Existen otras alternativas llevadas a cabo en diferentes Provincias, pero este Tribunal ha considerado que la aquí legislada es la que mejor se ajustará a los cambios que impone el nuevo sistema en nuestra Provincia. </w:t>
      </w:r>
    </w:p>
    <w:p w:rsidR="001175A0" w:rsidRPr="00540061" w:rsidRDefault="001175A0" w:rsidP="001175A0">
      <w:pPr>
        <w:ind w:firstLine="708"/>
        <w:rPr>
          <w:rFonts w:cs="Courier New"/>
          <w:szCs w:val="24"/>
        </w:rPr>
      </w:pPr>
      <w:r w:rsidRPr="00540061">
        <w:rPr>
          <w:rFonts w:cs="Courier New"/>
          <w:szCs w:val="24"/>
        </w:rPr>
        <w:t xml:space="preserve">El Tribunal de Impugnación, tendrá competencia provincial, y su sede se asentará en la ciudad de Neuquén. Con la finalidad de favorecer la intervención de las partes en el proceso, y garantizar la inmediación se ha considerado prudente disponer que el Tribunal deba constituirse en cualquiera de las Circunscripciones Judiciales de la Provincia, cuando las circunstancias así lo requieran. Asimismo los jueces que lo integran pueden participar en juicios, en caso de ser necesario, conforme los requerimientos que se detecten en el sistema y la asignación de trabajo que efectúe la Oficina Judicial. </w:t>
      </w:r>
    </w:p>
    <w:p w:rsidR="001175A0" w:rsidRPr="00540061" w:rsidRDefault="001175A0" w:rsidP="001175A0">
      <w:pPr>
        <w:rPr>
          <w:rFonts w:cs="Courier New"/>
          <w:szCs w:val="24"/>
        </w:rPr>
      </w:pPr>
      <w:r w:rsidRPr="00540061">
        <w:rPr>
          <w:rFonts w:cs="Courier New"/>
          <w:szCs w:val="24"/>
        </w:rPr>
        <w:lastRenderedPageBreak/>
        <w:t xml:space="preserve"> </w:t>
      </w:r>
      <w:r w:rsidRPr="00540061">
        <w:rPr>
          <w:rFonts w:cs="Courier New"/>
          <w:szCs w:val="24"/>
        </w:rPr>
        <w:tab/>
        <w:t>En cuanto al Colegio de jueces, ya hemos dicho que se regula un Colegio de jueces absolutamente horizontal. Donde todos los jueces penales que lo integren, actuarán en todo tipo de audiencias: preliminares, de la etapa intermedia, y de juicios, comunes o por jurados.</w:t>
      </w:r>
    </w:p>
    <w:p w:rsidR="001175A0" w:rsidRPr="00540061" w:rsidRDefault="001175A0" w:rsidP="001175A0">
      <w:pPr>
        <w:rPr>
          <w:rFonts w:cs="Courier New"/>
          <w:szCs w:val="24"/>
        </w:rPr>
      </w:pPr>
      <w:r w:rsidRPr="00540061">
        <w:rPr>
          <w:rFonts w:cs="Courier New"/>
          <w:szCs w:val="24"/>
        </w:rPr>
        <w:tab/>
        <w:t xml:space="preserve">De esta manera se ha considerado que se refleja más fielmente el espíritu propiciado por la Comisión </w:t>
      </w:r>
      <w:proofErr w:type="spellStart"/>
      <w:r w:rsidRPr="00540061">
        <w:rPr>
          <w:rFonts w:cs="Courier New"/>
          <w:szCs w:val="24"/>
        </w:rPr>
        <w:t>Interpoderes</w:t>
      </w:r>
      <w:proofErr w:type="spellEnd"/>
      <w:r w:rsidRPr="00540061">
        <w:rPr>
          <w:rFonts w:cs="Courier New"/>
          <w:szCs w:val="24"/>
        </w:rPr>
        <w:t xml:space="preserve"> de Reforma Procesal Penal, que trabajó para la sanción de la ley 2784. </w:t>
      </w:r>
    </w:p>
    <w:p w:rsidR="001175A0" w:rsidRPr="00540061" w:rsidRDefault="001175A0" w:rsidP="001175A0">
      <w:pPr>
        <w:rPr>
          <w:rFonts w:cs="Courier New"/>
          <w:szCs w:val="24"/>
          <w:lang w:val="es-ES_tradnl"/>
        </w:rPr>
      </w:pPr>
      <w:r w:rsidRPr="00540061">
        <w:rPr>
          <w:rFonts w:cs="Courier New"/>
          <w:szCs w:val="24"/>
        </w:rPr>
        <w:tab/>
        <w:t>Transitoriamente para la m</w:t>
      </w:r>
      <w:proofErr w:type="spellStart"/>
      <w:r w:rsidRPr="00540061">
        <w:rPr>
          <w:rFonts w:cs="Courier New"/>
          <w:szCs w:val="24"/>
          <w:lang w:val="es-ES_tradnl"/>
        </w:rPr>
        <w:t>ateria</w:t>
      </w:r>
      <w:proofErr w:type="spellEnd"/>
      <w:r w:rsidRPr="00540061">
        <w:rPr>
          <w:rFonts w:cs="Courier New"/>
          <w:szCs w:val="24"/>
          <w:lang w:val="es-ES_tradnl"/>
        </w:rPr>
        <w:t xml:space="preserve"> Civil, Comercial, Laboral, de Minería y Familia, se crea una única Cámara Provincial de Apelaciones que tendrá competencia territorial en la II, III, IV y V Circunscripciones judiciales.</w:t>
      </w:r>
    </w:p>
    <w:p w:rsidR="001175A0" w:rsidRPr="00540061" w:rsidRDefault="001175A0" w:rsidP="001175A0">
      <w:pPr>
        <w:rPr>
          <w:rFonts w:cs="Courier New"/>
          <w:szCs w:val="24"/>
          <w:lang w:val="es-ES_tradnl"/>
        </w:rPr>
      </w:pPr>
      <w:r w:rsidRPr="00540061">
        <w:rPr>
          <w:rFonts w:cs="Courier New"/>
          <w:szCs w:val="24"/>
          <w:lang w:val="es-ES_tradnl"/>
        </w:rPr>
        <w:tab/>
        <w:t xml:space="preserve">Entendemos que en un futuro próximo, se sancionará la Ley de Reforma Procesal Civil, en virtud de que ya se encuentra trabajando una Comisión </w:t>
      </w:r>
      <w:proofErr w:type="spellStart"/>
      <w:r w:rsidRPr="00540061">
        <w:rPr>
          <w:rFonts w:cs="Courier New"/>
          <w:szCs w:val="24"/>
          <w:lang w:val="es-ES_tradnl"/>
        </w:rPr>
        <w:t>Interpoderes</w:t>
      </w:r>
      <w:proofErr w:type="spellEnd"/>
      <w:r w:rsidRPr="00540061">
        <w:rPr>
          <w:rFonts w:cs="Courier New"/>
          <w:szCs w:val="24"/>
          <w:lang w:val="es-ES_tradnl"/>
        </w:rPr>
        <w:t xml:space="preserve"> para la Reforma Procesal Civil, por lo que prontamente comenzará a delinearse de manera definitiva la estructura requerida para la implementación de los cambios que se establezcan en dicha norma. </w:t>
      </w:r>
    </w:p>
    <w:p w:rsidR="001175A0" w:rsidRPr="00540061" w:rsidRDefault="001175A0" w:rsidP="001175A0">
      <w:pPr>
        <w:pStyle w:val="Textoindependiente"/>
        <w:spacing w:line="360" w:lineRule="auto"/>
        <w:ind w:firstLine="708"/>
        <w:rPr>
          <w:rFonts w:ascii="Courier New" w:hAnsi="Courier New" w:cs="Courier New"/>
          <w:lang w:val="es-ES_tradnl"/>
        </w:rPr>
      </w:pPr>
      <w:r w:rsidRPr="00540061">
        <w:rPr>
          <w:rFonts w:ascii="Courier New" w:hAnsi="Courier New" w:cs="Courier New"/>
          <w:lang w:val="es-ES_tradnl"/>
        </w:rPr>
        <w:t xml:space="preserve">La Cámara que se crea tendrá su sede en cualquier punto de su competencia territorial, y el Tribunal Superior de Justicia, reglamentará el funcionamiento de la misma, asegurando el acceso a la Justicia. </w:t>
      </w:r>
    </w:p>
    <w:p w:rsidR="001175A0" w:rsidRPr="00540061" w:rsidRDefault="001175A0" w:rsidP="001175A0">
      <w:pPr>
        <w:rPr>
          <w:rFonts w:cs="Courier New"/>
          <w:szCs w:val="24"/>
        </w:rPr>
      </w:pPr>
    </w:p>
    <w:p w:rsidR="001175A0" w:rsidRPr="00540061" w:rsidRDefault="001175A0" w:rsidP="001175A0">
      <w:pPr>
        <w:jc w:val="center"/>
        <w:rPr>
          <w:rFonts w:cs="Courier New"/>
          <w:szCs w:val="24"/>
        </w:rPr>
      </w:pPr>
      <w:r w:rsidRPr="00540061">
        <w:rPr>
          <w:rFonts w:cs="Courier New"/>
          <w:szCs w:val="24"/>
          <w:u w:val="single"/>
        </w:rPr>
        <w:t>Oficina Judicial</w:t>
      </w:r>
      <w:r w:rsidRPr="00540061">
        <w:rPr>
          <w:rFonts w:cs="Courier New"/>
          <w:szCs w:val="24"/>
        </w:rPr>
        <w:t>.</w:t>
      </w:r>
    </w:p>
    <w:p w:rsidR="001175A0" w:rsidRPr="00540061" w:rsidRDefault="001175A0" w:rsidP="001175A0">
      <w:pPr>
        <w:jc w:val="center"/>
        <w:rPr>
          <w:rFonts w:cs="Courier New"/>
          <w:szCs w:val="24"/>
        </w:rPr>
      </w:pP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Para el capítulo de la Oficina Judicial han sido tenidas en cuenta las experiencias desarrolladas en la Provincia de Chubut y en la República de Chile. </w:t>
      </w:r>
    </w:p>
    <w:p w:rsidR="001175A0" w:rsidRPr="00540061" w:rsidRDefault="001175A0" w:rsidP="001175A0">
      <w:pPr>
        <w:ind w:firstLine="708"/>
        <w:rPr>
          <w:rFonts w:cs="Courier New"/>
          <w:szCs w:val="24"/>
        </w:rPr>
      </w:pPr>
      <w:r w:rsidRPr="00540061">
        <w:rPr>
          <w:rFonts w:cs="Courier New"/>
          <w:szCs w:val="24"/>
        </w:rPr>
        <w:t xml:space="preserve">Básicamente en función de la experiencia de Chubut, se ha considerado conveniente que la Oficina Judicial, dependa del Tribunal Superior de Justicia. Ya que desde </w:t>
      </w:r>
      <w:r w:rsidRPr="00540061">
        <w:rPr>
          <w:rFonts w:cs="Courier New"/>
          <w:szCs w:val="24"/>
        </w:rPr>
        <w:lastRenderedPageBreak/>
        <w:t xml:space="preserve">este Tribunal corresponde evaluar las necesidades de las diferentes Circunscripciones judiciales y crear las estructuras adecuadas a partir del análisis concreto. No consideramos conveniente propugnar un esquema rígido para toda la Provincia. Sino por el contrario, creemos que se debe aplicar para su diseño los mismos principios que propone la Oficina Judicial para cumplir su cometido: “agilidad, </w:t>
      </w:r>
      <w:proofErr w:type="spellStart"/>
      <w:r w:rsidRPr="00540061">
        <w:rPr>
          <w:rFonts w:cs="Courier New"/>
          <w:szCs w:val="24"/>
        </w:rPr>
        <w:t>desformalización</w:t>
      </w:r>
      <w:proofErr w:type="spellEnd"/>
      <w:r w:rsidRPr="00540061">
        <w:rPr>
          <w:rFonts w:cs="Courier New"/>
          <w:szCs w:val="24"/>
        </w:rPr>
        <w:t xml:space="preserve">, eficacia, eficiencia, racionalidad del trabajo, responsabilidad por la gestión, coordinación y cooperación entre administraciones, a fin de brindar un acceso a la Justicia más eficaz”. </w:t>
      </w:r>
    </w:p>
    <w:p w:rsidR="001175A0" w:rsidRPr="00540061" w:rsidRDefault="001175A0" w:rsidP="001175A0">
      <w:pPr>
        <w:ind w:firstLine="708"/>
        <w:rPr>
          <w:rFonts w:cs="Courier New"/>
          <w:szCs w:val="24"/>
        </w:rPr>
      </w:pPr>
      <w:r w:rsidRPr="00540061">
        <w:rPr>
          <w:rFonts w:cs="Courier New"/>
          <w:szCs w:val="24"/>
        </w:rPr>
        <w:t>Por estos motivos, la coordinación de la Oficina Judicial debe hacerse desde el Tribunal Superior de Justicia.</w:t>
      </w:r>
    </w:p>
    <w:p w:rsidR="001175A0" w:rsidRPr="00540061" w:rsidRDefault="001175A0" w:rsidP="001175A0">
      <w:pPr>
        <w:ind w:firstLine="708"/>
        <w:rPr>
          <w:rFonts w:cs="Courier New"/>
          <w:szCs w:val="24"/>
        </w:rPr>
      </w:pPr>
    </w:p>
    <w:p w:rsidR="001175A0" w:rsidRPr="00540061" w:rsidRDefault="001175A0" w:rsidP="001175A0">
      <w:pPr>
        <w:jc w:val="center"/>
        <w:rPr>
          <w:rFonts w:cs="Courier New"/>
          <w:szCs w:val="24"/>
        </w:rPr>
      </w:pPr>
      <w:r w:rsidRPr="00540061">
        <w:rPr>
          <w:rFonts w:cs="Courier New"/>
          <w:szCs w:val="24"/>
          <w:u w:val="single"/>
        </w:rPr>
        <w:t>Juzgados de Ejecución Penal</w:t>
      </w:r>
      <w:r w:rsidRPr="00540061">
        <w:rPr>
          <w:rFonts w:cs="Courier New"/>
          <w:szCs w:val="24"/>
        </w:rPr>
        <w:t>.</w:t>
      </w:r>
    </w:p>
    <w:p w:rsidR="001175A0" w:rsidRPr="00540061" w:rsidRDefault="001175A0" w:rsidP="001175A0">
      <w:pPr>
        <w:jc w:val="center"/>
        <w:rPr>
          <w:rFonts w:cs="Courier New"/>
          <w:szCs w:val="24"/>
        </w:rPr>
      </w:pPr>
    </w:p>
    <w:p w:rsidR="001175A0" w:rsidRPr="00540061" w:rsidRDefault="001175A0" w:rsidP="001175A0">
      <w:pPr>
        <w:ind w:firstLine="708"/>
        <w:rPr>
          <w:rFonts w:cs="Courier New"/>
          <w:szCs w:val="24"/>
        </w:rPr>
      </w:pPr>
      <w:r w:rsidRPr="00540061">
        <w:rPr>
          <w:rFonts w:cs="Courier New"/>
          <w:szCs w:val="24"/>
        </w:rPr>
        <w:t xml:space="preserve">Evaluando asimismo la experiencia de la vecina Provincia del Chubut, se propone la integración de los jueces de Ejecución al Colegio de jueces, para que dicho cargo sea rotativo anualmente. En la I circunscripción actuará un (1) juez de Ejecución. Para las restantes Circunscripciones Judiciales se establecerá un (1) juez de Ejecución, en la ciudad de Zapala. </w:t>
      </w:r>
    </w:p>
    <w:p w:rsidR="001175A0" w:rsidRPr="00540061" w:rsidRDefault="001175A0" w:rsidP="001175A0">
      <w:pPr>
        <w:ind w:firstLine="708"/>
        <w:rPr>
          <w:rFonts w:cs="Courier New"/>
          <w:szCs w:val="24"/>
        </w:rPr>
      </w:pPr>
      <w:r w:rsidRPr="00540061">
        <w:rPr>
          <w:rFonts w:cs="Courier New"/>
          <w:szCs w:val="24"/>
        </w:rPr>
        <w:t xml:space="preserve">Cada Colegio de jueces de la provincia realizará anualmente una reunión para elegir quién ocupará el cargo de juez de Ejecución por ese año, y durante este período se abocará exclusivamente a la labor de ejecución. </w:t>
      </w:r>
    </w:p>
    <w:p w:rsidR="001175A0" w:rsidRPr="00540061" w:rsidRDefault="001175A0" w:rsidP="001175A0">
      <w:pPr>
        <w:ind w:firstLine="708"/>
        <w:rPr>
          <w:rFonts w:cs="Courier New"/>
          <w:szCs w:val="24"/>
        </w:rPr>
      </w:pPr>
      <w:r w:rsidRPr="00540061">
        <w:rPr>
          <w:rFonts w:cs="Courier New"/>
          <w:szCs w:val="24"/>
        </w:rPr>
        <w:t xml:space="preserve">De esta manera se compatibilizan, la especialización y conocimiento de la persona privada de su libertad durante la ejecución de la pena, y se evita el desgaste que produce dicha función, ejercida de forma permanente. </w:t>
      </w:r>
    </w:p>
    <w:p w:rsidR="001175A0" w:rsidRPr="00540061" w:rsidRDefault="001175A0" w:rsidP="001175A0">
      <w:pPr>
        <w:rPr>
          <w:rFonts w:cs="Courier New"/>
          <w:szCs w:val="24"/>
        </w:rPr>
      </w:pPr>
    </w:p>
    <w:p w:rsidR="001175A0" w:rsidRPr="00540061" w:rsidRDefault="001175A0" w:rsidP="001175A0">
      <w:pPr>
        <w:rPr>
          <w:rFonts w:cs="Courier New"/>
          <w:szCs w:val="24"/>
        </w:rPr>
      </w:pPr>
    </w:p>
    <w:p w:rsidR="001175A0" w:rsidRPr="00540061" w:rsidRDefault="001175A0" w:rsidP="001175A0">
      <w:pPr>
        <w:jc w:val="center"/>
        <w:rPr>
          <w:rFonts w:cs="Courier New"/>
          <w:szCs w:val="24"/>
        </w:rPr>
      </w:pPr>
      <w:r w:rsidRPr="00540061">
        <w:rPr>
          <w:rFonts w:cs="Courier New"/>
          <w:szCs w:val="24"/>
          <w:u w:val="single"/>
        </w:rPr>
        <w:lastRenderedPageBreak/>
        <w:t>Migración de causas en trámite</w:t>
      </w:r>
      <w:r w:rsidRPr="00540061">
        <w:rPr>
          <w:rFonts w:cs="Courier New"/>
          <w:szCs w:val="24"/>
        </w:rPr>
        <w:t>.</w:t>
      </w:r>
    </w:p>
    <w:p w:rsidR="001175A0" w:rsidRPr="00540061" w:rsidRDefault="001175A0" w:rsidP="001175A0">
      <w:pPr>
        <w:jc w:val="center"/>
        <w:rPr>
          <w:rFonts w:cs="Courier New"/>
          <w:szCs w:val="24"/>
        </w:rPr>
      </w:pPr>
    </w:p>
    <w:p w:rsidR="001175A0" w:rsidRPr="00540061" w:rsidRDefault="001175A0" w:rsidP="001175A0">
      <w:pPr>
        <w:rPr>
          <w:rFonts w:cs="Courier New"/>
          <w:szCs w:val="24"/>
        </w:rPr>
      </w:pPr>
      <w:r w:rsidRPr="00540061">
        <w:rPr>
          <w:rFonts w:cs="Courier New"/>
          <w:szCs w:val="24"/>
        </w:rPr>
        <w:t xml:space="preserve"> </w:t>
      </w:r>
      <w:r w:rsidRPr="00540061">
        <w:rPr>
          <w:rFonts w:cs="Courier New"/>
          <w:szCs w:val="24"/>
        </w:rPr>
        <w:tab/>
        <w:t xml:space="preserve">Se prevé una transición ordenada del sistema actualmente vigente al nuevo sistema acusatorio, detallándose en las normas transitorias la modalidad del traspaso de los expedientes que se encuentran en trámite para su continuidad con la implementación del nuevo Código Procesal Penal. </w:t>
      </w:r>
    </w:p>
    <w:p w:rsidR="001175A0" w:rsidRPr="00540061" w:rsidRDefault="001175A0" w:rsidP="001175A0">
      <w:pPr>
        <w:rPr>
          <w:rFonts w:cs="Courier New"/>
          <w:szCs w:val="24"/>
        </w:rPr>
      </w:pPr>
      <w:r w:rsidRPr="00540061">
        <w:rPr>
          <w:rFonts w:cs="Courier New"/>
          <w:szCs w:val="24"/>
        </w:rPr>
        <w:tab/>
        <w:t xml:space="preserve">En la elaboración del presente proyecto de ley se tuvieron en cuenta las más modernas reformas procesales dictadas tanto en la República Argentina como en otros países de Latinoamérica, así como la más moderna doctrina en materia de derecho procesal penal. </w:t>
      </w:r>
    </w:p>
    <w:p w:rsidR="001175A0" w:rsidRPr="00540061" w:rsidRDefault="001175A0" w:rsidP="001175A0">
      <w:pPr>
        <w:rPr>
          <w:rFonts w:cs="Courier New"/>
          <w:szCs w:val="24"/>
        </w:rPr>
      </w:pPr>
      <w:r w:rsidRPr="00540061">
        <w:rPr>
          <w:rFonts w:cs="Courier New"/>
          <w:szCs w:val="24"/>
        </w:rPr>
        <w:tab/>
        <w:t xml:space="preserve">Luego de lo cual, se ha plasmado el sistema que se considera más adecuado para nuestra provincia, en función de la carga de trabajo, de los recursos humanos y de la funcionalidad del sistema previsto. </w:t>
      </w:r>
    </w:p>
    <w:p w:rsidR="001175A0" w:rsidRPr="00540061" w:rsidRDefault="001175A0" w:rsidP="001175A0">
      <w:pPr>
        <w:ind w:firstLine="708"/>
        <w:rPr>
          <w:rFonts w:cs="Courier New"/>
          <w:szCs w:val="24"/>
        </w:rPr>
      </w:pPr>
      <w:r w:rsidRPr="00540061">
        <w:rPr>
          <w:rFonts w:cs="Courier New"/>
          <w:szCs w:val="24"/>
        </w:rPr>
        <w:t xml:space="preserve">Por lo expuesto propugnamos la aprobación del presente proyecto. </w:t>
      </w:r>
    </w:p>
    <w:p w:rsidR="001175A0" w:rsidRPr="00540061" w:rsidRDefault="001175A0" w:rsidP="001175A0">
      <w:pPr>
        <w:rPr>
          <w:rFonts w:cs="Courier New"/>
          <w:szCs w:val="24"/>
        </w:rPr>
      </w:pPr>
    </w:p>
    <w:p w:rsidR="001175A0" w:rsidRPr="00540061" w:rsidRDefault="001175A0" w:rsidP="001175A0">
      <w:pPr>
        <w:autoSpaceDE w:val="0"/>
        <w:autoSpaceDN w:val="0"/>
        <w:adjustRightInd w:val="0"/>
        <w:spacing w:line="240" w:lineRule="auto"/>
        <w:jc w:val="right"/>
        <w:rPr>
          <w:rFonts w:cs="Courier New"/>
          <w:szCs w:val="24"/>
        </w:rPr>
      </w:pPr>
    </w:p>
    <w:p w:rsidR="001175A0" w:rsidRPr="00540061" w:rsidRDefault="001175A0" w:rsidP="001175A0">
      <w:pPr>
        <w:rPr>
          <w:rFonts w:cs="Courier New"/>
          <w:szCs w:val="24"/>
        </w:rPr>
      </w:pPr>
    </w:p>
    <w:p w:rsidR="001175A0" w:rsidRPr="00540061" w:rsidRDefault="001175A0" w:rsidP="001175A0">
      <w:pPr>
        <w:rPr>
          <w:rFonts w:cs="Courier New"/>
          <w:szCs w:val="24"/>
        </w:rPr>
      </w:pPr>
    </w:p>
    <w:p w:rsidR="0062273B" w:rsidRDefault="0062273B">
      <w:bookmarkStart w:id="0" w:name="_GoBack"/>
      <w:bookmarkEnd w:id="0"/>
    </w:p>
    <w:sectPr w:rsidR="0062273B" w:rsidSect="00365611">
      <w:headerReference w:type="even" r:id="rId7"/>
      <w:headerReference w:type="default" r:id="rId8"/>
      <w:footerReference w:type="even" r:id="rId9"/>
      <w:footerReference w:type="default" r:id="rId10"/>
      <w:headerReference w:type="first" r:id="rId11"/>
      <w:footerReference w:type="first" r:id="rId12"/>
      <w:pgSz w:w="11907" w:h="16839" w:code="9"/>
      <w:pgMar w:top="1418" w:right="851" w:bottom="1418" w:left="2835" w:header="709"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B5" w:rsidRDefault="005943B5" w:rsidP="001175A0">
      <w:pPr>
        <w:spacing w:line="240" w:lineRule="auto"/>
      </w:pPr>
      <w:r>
        <w:separator/>
      </w:r>
    </w:p>
  </w:endnote>
  <w:endnote w:type="continuationSeparator" w:id="0">
    <w:p w:rsidR="005943B5" w:rsidRDefault="005943B5" w:rsidP="00117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5943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BA" w:rsidRPr="00B87D3B" w:rsidRDefault="005943B5" w:rsidP="00B87D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5943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B5" w:rsidRDefault="005943B5" w:rsidP="001175A0">
      <w:pPr>
        <w:spacing w:line="240" w:lineRule="auto"/>
      </w:pPr>
      <w:r>
        <w:separator/>
      </w:r>
    </w:p>
  </w:footnote>
  <w:footnote w:type="continuationSeparator" w:id="0">
    <w:p w:rsidR="005943B5" w:rsidRDefault="005943B5" w:rsidP="001175A0">
      <w:pPr>
        <w:spacing w:line="240" w:lineRule="auto"/>
      </w:pPr>
      <w:r>
        <w:continuationSeparator/>
      </w:r>
    </w:p>
  </w:footnote>
  <w:footnote w:id="1">
    <w:p w:rsidR="001175A0" w:rsidRPr="004B231A" w:rsidRDefault="001175A0" w:rsidP="001175A0">
      <w:pPr>
        <w:rPr>
          <w:rFonts w:cs="Courier New"/>
          <w:sz w:val="20"/>
        </w:rPr>
      </w:pPr>
      <w:r>
        <w:rPr>
          <w:rStyle w:val="Refdenotaalpie"/>
        </w:rPr>
        <w:sym w:font="Symbol" w:char="F02A"/>
      </w:r>
      <w:r w:rsidRPr="004B231A">
        <w:rPr>
          <w:rFonts w:cs="Courier New"/>
          <w:sz w:val="20"/>
        </w:rPr>
        <w:t xml:space="preserve">El presente proyecto de ley tiene como base el documento elaborado por el Dr. Andrés </w:t>
      </w:r>
      <w:proofErr w:type="spellStart"/>
      <w:r w:rsidRPr="004B231A">
        <w:rPr>
          <w:rFonts w:cs="Courier New"/>
          <w:sz w:val="20"/>
        </w:rPr>
        <w:t>Repetto</w:t>
      </w:r>
      <w:proofErr w:type="spellEnd"/>
      <w:r w:rsidRPr="004B231A">
        <w:rPr>
          <w:rFonts w:cs="Courier New"/>
          <w:sz w:val="20"/>
        </w:rPr>
        <w:t xml:space="preserve">, habiendo realizado aportes y sugerencias al mismo en representación de la Asociación de Magistrados los Dres. Mario Rodríguez Gómez, Alejandro Cabral y Richard </w:t>
      </w:r>
      <w:proofErr w:type="spellStart"/>
      <w:r w:rsidRPr="004B231A">
        <w:rPr>
          <w:rFonts w:cs="Courier New"/>
          <w:sz w:val="20"/>
        </w:rPr>
        <w:t>Trincheri</w:t>
      </w:r>
      <w:proofErr w:type="spellEnd"/>
      <w:r w:rsidRPr="004B231A">
        <w:rPr>
          <w:rFonts w:cs="Courier New"/>
          <w:sz w:val="20"/>
        </w:rPr>
        <w:t xml:space="preserve">, y siendo posteriormente consensuado y aprobado por la comisión creada por el Presidente del Tribunal Superior de Justicia (Decreto 220/2012), la que integraron los Dres. Alfredo </w:t>
      </w:r>
      <w:proofErr w:type="spellStart"/>
      <w:r w:rsidRPr="004B231A">
        <w:rPr>
          <w:rFonts w:cs="Courier New"/>
          <w:sz w:val="20"/>
        </w:rPr>
        <w:t>Elosú</w:t>
      </w:r>
      <w:proofErr w:type="spellEnd"/>
      <w:r w:rsidRPr="004B231A">
        <w:rPr>
          <w:rFonts w:cs="Courier New"/>
          <w:sz w:val="20"/>
        </w:rPr>
        <w:t xml:space="preserve"> Larrumbe, Carina Álvarez y Andrés </w:t>
      </w:r>
      <w:proofErr w:type="spellStart"/>
      <w:r w:rsidRPr="004B231A">
        <w:rPr>
          <w:rFonts w:cs="Courier New"/>
          <w:sz w:val="20"/>
        </w:rPr>
        <w:t>Repetto</w:t>
      </w:r>
      <w:proofErr w:type="spellEnd"/>
      <w:r w:rsidRPr="004B231A">
        <w:rPr>
          <w:rFonts w:cs="Courier New"/>
          <w:sz w:val="20"/>
        </w:rPr>
        <w:t xml:space="preserve">, sumando sus positivos aportes el Dr. Germán </w:t>
      </w:r>
      <w:proofErr w:type="spellStart"/>
      <w:r w:rsidRPr="004B231A">
        <w:rPr>
          <w:rFonts w:cs="Courier New"/>
          <w:sz w:val="20"/>
        </w:rPr>
        <w:t>Póllitzer</w:t>
      </w:r>
      <w:proofErr w:type="spellEnd"/>
      <w:r w:rsidRPr="004B231A">
        <w:rPr>
          <w:rFonts w:cs="Courier New"/>
          <w:sz w:val="20"/>
        </w:rPr>
        <w:t xml:space="preserve">. Asimismo se ha consultado la ley de Organización de Tribunales de la Provincia de Santa Fe, y se ha tenido en cuenta la experiencia de la Provincia de Chubut. </w:t>
      </w:r>
    </w:p>
    <w:p w:rsidR="001175A0" w:rsidRPr="004B231A" w:rsidRDefault="001175A0" w:rsidP="001175A0">
      <w:pPr>
        <w:pStyle w:val="Textonotapie"/>
        <w:rPr>
          <w:rFonts w:ascii="Courier New" w:hAnsi="Courier New" w:cs="Courier New"/>
        </w:rPr>
      </w:pPr>
    </w:p>
  </w:footnote>
  <w:footnote w:id="2">
    <w:p w:rsidR="001175A0" w:rsidRPr="0059115D" w:rsidRDefault="001175A0" w:rsidP="001175A0">
      <w:pPr>
        <w:pStyle w:val="Textonotapie"/>
        <w:rPr>
          <w:rFonts w:ascii="Courier New" w:hAnsi="Courier New" w:cs="Courier New"/>
          <w:i/>
          <w:lang w:val="es-ES_tradnl"/>
        </w:rPr>
      </w:pPr>
      <w:r>
        <w:rPr>
          <w:rStyle w:val="Refdenotaalpie"/>
        </w:rPr>
        <w:footnoteRef/>
      </w:r>
      <w:r>
        <w:t xml:space="preserve"> </w:t>
      </w:r>
      <w:r w:rsidRPr="0059115D">
        <w:rPr>
          <w:rFonts w:ascii="Courier New" w:hAnsi="Courier New" w:cs="Courier New"/>
          <w:lang w:val="es-ES_tradnl"/>
        </w:rPr>
        <w:t xml:space="preserve">Art. 246 del CPP: </w:t>
      </w:r>
      <w:r w:rsidRPr="0059115D">
        <w:rPr>
          <w:rFonts w:ascii="Courier New" w:hAnsi="Courier New" w:cs="Courier New"/>
          <w:i/>
          <w:lang w:val="es-ES_tradnl"/>
        </w:rPr>
        <w:t>“El tribunal dictará resolución en forma inmediata o en el plazo máximo de diez (10) días…”.</w:t>
      </w:r>
    </w:p>
  </w:footnote>
  <w:footnote w:id="3">
    <w:p w:rsidR="001175A0" w:rsidRPr="0059115D" w:rsidRDefault="001175A0" w:rsidP="001175A0">
      <w:pPr>
        <w:pStyle w:val="Textonotapie"/>
        <w:rPr>
          <w:rFonts w:ascii="Courier New" w:hAnsi="Courier New" w:cs="Courier New"/>
          <w:lang w:val="es-ES_tradnl"/>
        </w:rPr>
      </w:pPr>
      <w:r w:rsidRPr="0059115D">
        <w:rPr>
          <w:rStyle w:val="Refdenotaalpie"/>
          <w:rFonts w:ascii="Courier New" w:hAnsi="Courier New" w:cs="Courier New"/>
        </w:rPr>
        <w:footnoteRef/>
      </w:r>
      <w:r w:rsidRPr="0059115D">
        <w:rPr>
          <w:rFonts w:ascii="Courier New" w:hAnsi="Courier New" w:cs="Courier New"/>
        </w:rPr>
        <w:t xml:space="preserve"> </w:t>
      </w:r>
      <w:r w:rsidRPr="0059115D">
        <w:rPr>
          <w:rFonts w:ascii="Courier New" w:hAnsi="Courier New" w:cs="Courier New"/>
          <w:lang w:val="es-ES_tradnl"/>
        </w:rPr>
        <w:t xml:space="preserve">Art. 89 CPP: </w:t>
      </w:r>
      <w:r w:rsidRPr="0059115D">
        <w:rPr>
          <w:rFonts w:ascii="Courier New" w:hAnsi="Courier New" w:cs="Courier New"/>
          <w:i/>
          <w:lang w:val="es-ES_tradnl"/>
        </w:rPr>
        <w:t>“Cuando el Tribunal de Impugnación no resuelva el recurso dentro de los plazos establecidos por éste código, se podrá solicitar el pronto despacho. Si en cinco (5) días no dicta resolución, se entenderá que ha admitido la solución propuesta por el recurrente, salvo que sea desfavorable para el imputado, en cuyo caso se entenderá que el recurso ha sido rechazado…”</w:t>
      </w:r>
      <w:r w:rsidRPr="0059115D">
        <w:rPr>
          <w:rFonts w:ascii="Courier New" w:hAnsi="Courier New" w:cs="Courier New"/>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5943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BA" w:rsidRDefault="005943B5" w:rsidP="00301CBA">
    <w:pPr>
      <w:pStyle w:val="Encabezado"/>
      <w:tabs>
        <w:tab w:val="clear" w:pos="4252"/>
        <w:tab w:val="clear" w:pos="8504"/>
      </w:tabs>
      <w:jc w:val="center"/>
    </w:pPr>
  </w:p>
  <w:p w:rsidR="00301CBA" w:rsidRDefault="005943B5" w:rsidP="00301CBA">
    <w:pPr>
      <w:pStyle w:val="Encabezado"/>
      <w:tabs>
        <w:tab w:val="clear" w:pos="4252"/>
        <w:tab w:val="clear" w:pos="8504"/>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D3B" w:rsidRDefault="005943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A0"/>
    <w:rsid w:val="001175A0"/>
    <w:rsid w:val="005943B5"/>
    <w:rsid w:val="005A1C7B"/>
    <w:rsid w:val="00622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5A0"/>
    <w:rPr>
      <w:rFonts w:ascii="Courier New" w:eastAsia="Times New Roman" w:hAnsi="Courier New" w:cs="Times New Roman"/>
      <w:sz w:val="24"/>
      <w:szCs w:val="20"/>
      <w:lang w:eastAsia="es-ES"/>
    </w:rPr>
  </w:style>
  <w:style w:type="paragraph" w:styleId="Ttulo1">
    <w:name w:val="heading 1"/>
    <w:basedOn w:val="Normal"/>
    <w:next w:val="Normal"/>
    <w:link w:val="Ttulo1Car"/>
    <w:qFormat/>
    <w:rsid w:val="001175A0"/>
    <w:pPr>
      <w:keepNext/>
      <w:spacing w:line="240" w:lineRule="auto"/>
      <w:jc w:val="left"/>
      <w:outlineLvl w:val="0"/>
    </w:pPr>
    <w:rPr>
      <w:rFonts w:ascii="Times New Roman" w:hAnsi="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75A0"/>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rsid w:val="001175A0"/>
    <w:pPr>
      <w:tabs>
        <w:tab w:val="center" w:pos="4252"/>
        <w:tab w:val="right" w:pos="8504"/>
      </w:tabs>
    </w:pPr>
  </w:style>
  <w:style w:type="character" w:customStyle="1" w:styleId="EncabezadoCar">
    <w:name w:val="Encabezado Car"/>
    <w:basedOn w:val="Fuentedeprrafopredeter"/>
    <w:link w:val="Encabezado"/>
    <w:uiPriority w:val="99"/>
    <w:rsid w:val="001175A0"/>
    <w:rPr>
      <w:rFonts w:ascii="Courier New" w:eastAsia="Times New Roman" w:hAnsi="Courier New" w:cs="Times New Roman"/>
      <w:sz w:val="24"/>
      <w:szCs w:val="20"/>
      <w:lang w:eastAsia="es-ES"/>
    </w:rPr>
  </w:style>
  <w:style w:type="paragraph" w:styleId="Piedepgina">
    <w:name w:val="footer"/>
    <w:basedOn w:val="Normal"/>
    <w:link w:val="PiedepginaCar"/>
    <w:rsid w:val="001175A0"/>
    <w:pPr>
      <w:tabs>
        <w:tab w:val="center" w:pos="4252"/>
        <w:tab w:val="right" w:pos="8504"/>
      </w:tabs>
    </w:pPr>
  </w:style>
  <w:style w:type="character" w:customStyle="1" w:styleId="PiedepginaCar">
    <w:name w:val="Pie de página Car"/>
    <w:basedOn w:val="Fuentedeprrafopredeter"/>
    <w:link w:val="Piedepgina"/>
    <w:rsid w:val="001175A0"/>
    <w:rPr>
      <w:rFonts w:ascii="Courier New" w:eastAsia="Times New Roman" w:hAnsi="Courier New" w:cs="Times New Roman"/>
      <w:sz w:val="24"/>
      <w:szCs w:val="20"/>
      <w:lang w:eastAsia="es-ES"/>
    </w:rPr>
  </w:style>
  <w:style w:type="paragraph" w:styleId="Textoindependiente">
    <w:name w:val="Body Text"/>
    <w:basedOn w:val="Normal"/>
    <w:link w:val="TextoindependienteCar"/>
    <w:semiHidden/>
    <w:rsid w:val="001175A0"/>
    <w:pPr>
      <w:spacing w:line="240" w:lineRule="auto"/>
    </w:pPr>
    <w:rPr>
      <w:rFonts w:ascii="Times New Roman" w:hAnsi="Times New Roman"/>
      <w:szCs w:val="24"/>
    </w:rPr>
  </w:style>
  <w:style w:type="character" w:customStyle="1" w:styleId="TextoindependienteCar">
    <w:name w:val="Texto independiente Car"/>
    <w:basedOn w:val="Fuentedeprrafopredeter"/>
    <w:link w:val="Textoindependiente"/>
    <w:semiHidden/>
    <w:rsid w:val="001175A0"/>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1175A0"/>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175A0"/>
    <w:rPr>
      <w:rFonts w:ascii="Times New Roman" w:eastAsia="Times New Roman" w:hAnsi="Times New Roman" w:cs="Times New Roman"/>
      <w:sz w:val="20"/>
      <w:szCs w:val="20"/>
      <w:lang w:eastAsia="es-ES"/>
    </w:rPr>
  </w:style>
  <w:style w:type="character" w:styleId="Refdenotaalpie">
    <w:name w:val="footnote reference"/>
    <w:semiHidden/>
    <w:rsid w:val="001175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5A0"/>
    <w:rPr>
      <w:rFonts w:ascii="Courier New" w:eastAsia="Times New Roman" w:hAnsi="Courier New" w:cs="Times New Roman"/>
      <w:sz w:val="24"/>
      <w:szCs w:val="20"/>
      <w:lang w:eastAsia="es-ES"/>
    </w:rPr>
  </w:style>
  <w:style w:type="paragraph" w:styleId="Ttulo1">
    <w:name w:val="heading 1"/>
    <w:basedOn w:val="Normal"/>
    <w:next w:val="Normal"/>
    <w:link w:val="Ttulo1Car"/>
    <w:qFormat/>
    <w:rsid w:val="001175A0"/>
    <w:pPr>
      <w:keepNext/>
      <w:spacing w:line="240" w:lineRule="auto"/>
      <w:jc w:val="left"/>
      <w:outlineLvl w:val="0"/>
    </w:pPr>
    <w:rPr>
      <w:rFonts w:ascii="Times New Roman" w:hAnsi="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75A0"/>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rsid w:val="001175A0"/>
    <w:pPr>
      <w:tabs>
        <w:tab w:val="center" w:pos="4252"/>
        <w:tab w:val="right" w:pos="8504"/>
      </w:tabs>
    </w:pPr>
  </w:style>
  <w:style w:type="character" w:customStyle="1" w:styleId="EncabezadoCar">
    <w:name w:val="Encabezado Car"/>
    <w:basedOn w:val="Fuentedeprrafopredeter"/>
    <w:link w:val="Encabezado"/>
    <w:uiPriority w:val="99"/>
    <w:rsid w:val="001175A0"/>
    <w:rPr>
      <w:rFonts w:ascii="Courier New" w:eastAsia="Times New Roman" w:hAnsi="Courier New" w:cs="Times New Roman"/>
      <w:sz w:val="24"/>
      <w:szCs w:val="20"/>
      <w:lang w:eastAsia="es-ES"/>
    </w:rPr>
  </w:style>
  <w:style w:type="paragraph" w:styleId="Piedepgina">
    <w:name w:val="footer"/>
    <w:basedOn w:val="Normal"/>
    <w:link w:val="PiedepginaCar"/>
    <w:rsid w:val="001175A0"/>
    <w:pPr>
      <w:tabs>
        <w:tab w:val="center" w:pos="4252"/>
        <w:tab w:val="right" w:pos="8504"/>
      </w:tabs>
    </w:pPr>
  </w:style>
  <w:style w:type="character" w:customStyle="1" w:styleId="PiedepginaCar">
    <w:name w:val="Pie de página Car"/>
    <w:basedOn w:val="Fuentedeprrafopredeter"/>
    <w:link w:val="Piedepgina"/>
    <w:rsid w:val="001175A0"/>
    <w:rPr>
      <w:rFonts w:ascii="Courier New" w:eastAsia="Times New Roman" w:hAnsi="Courier New" w:cs="Times New Roman"/>
      <w:sz w:val="24"/>
      <w:szCs w:val="20"/>
      <w:lang w:eastAsia="es-ES"/>
    </w:rPr>
  </w:style>
  <w:style w:type="paragraph" w:styleId="Textoindependiente">
    <w:name w:val="Body Text"/>
    <w:basedOn w:val="Normal"/>
    <w:link w:val="TextoindependienteCar"/>
    <w:semiHidden/>
    <w:rsid w:val="001175A0"/>
    <w:pPr>
      <w:spacing w:line="240" w:lineRule="auto"/>
    </w:pPr>
    <w:rPr>
      <w:rFonts w:ascii="Times New Roman" w:hAnsi="Times New Roman"/>
      <w:szCs w:val="24"/>
    </w:rPr>
  </w:style>
  <w:style w:type="character" w:customStyle="1" w:styleId="TextoindependienteCar">
    <w:name w:val="Texto independiente Car"/>
    <w:basedOn w:val="Fuentedeprrafopredeter"/>
    <w:link w:val="Textoindependiente"/>
    <w:semiHidden/>
    <w:rsid w:val="001175A0"/>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1175A0"/>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175A0"/>
    <w:rPr>
      <w:rFonts w:ascii="Times New Roman" w:eastAsia="Times New Roman" w:hAnsi="Times New Roman" w:cs="Times New Roman"/>
      <w:sz w:val="20"/>
      <w:szCs w:val="20"/>
      <w:lang w:eastAsia="es-ES"/>
    </w:rPr>
  </w:style>
  <w:style w:type="character" w:styleId="Refdenotaalpie">
    <w:name w:val="footnote reference"/>
    <w:semiHidden/>
    <w:rsid w:val="00117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Van Der Walt</dc:creator>
  <cp:keywords/>
  <dc:description/>
  <cp:lastModifiedBy>Isabel Van Der Walt</cp:lastModifiedBy>
  <cp:revision>1</cp:revision>
  <dcterms:created xsi:type="dcterms:W3CDTF">2013-06-24T14:23:00Z</dcterms:created>
  <dcterms:modified xsi:type="dcterms:W3CDTF">2013-06-24T14:24:00Z</dcterms:modified>
</cp:coreProperties>
</file>