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C26" w:rsidRDefault="00330C26" w:rsidP="00330C26">
      <w:pPr>
        <w:spacing w:line="360" w:lineRule="auto"/>
        <w:jc w:val="center"/>
        <w:rPr>
          <w:rFonts w:ascii="Courier New" w:hAnsi="Courier New" w:cs="Courier New"/>
          <w:b/>
          <w:u w:val="single"/>
        </w:rPr>
      </w:pPr>
      <w:r>
        <w:rPr>
          <w:rFonts w:ascii="Courier New" w:hAnsi="Courier New" w:cs="Courier New"/>
          <w:b/>
          <w:u w:val="single"/>
        </w:rPr>
        <w:t>REGLAMENTO DE LA NOTIFICACIÓN POR MEDIOS ELECTRÓNICOS QUE AUTORIZA EL Art. 1º DE LA LEY 2.801</w:t>
      </w:r>
    </w:p>
    <w:p w:rsidR="00330C26" w:rsidRDefault="00330C26" w:rsidP="00330C26">
      <w:pPr>
        <w:spacing w:line="360" w:lineRule="auto"/>
        <w:jc w:val="center"/>
        <w:rPr>
          <w:rFonts w:ascii="Courier New" w:hAnsi="Courier New" w:cs="Courier New"/>
          <w:b/>
        </w:rPr>
      </w:pPr>
    </w:p>
    <w:p w:rsidR="00330C26" w:rsidRDefault="00330C26" w:rsidP="00330C26">
      <w:pPr>
        <w:spacing w:line="360" w:lineRule="auto"/>
        <w:jc w:val="center"/>
        <w:rPr>
          <w:rFonts w:ascii="Courier New" w:hAnsi="Courier New" w:cs="Courier New"/>
          <w:b/>
        </w:rPr>
      </w:pPr>
      <w:r>
        <w:rPr>
          <w:rFonts w:ascii="Courier New" w:hAnsi="Courier New" w:cs="Courier New"/>
          <w:b/>
        </w:rPr>
        <w:t>FUERO CIVIL</w:t>
      </w:r>
    </w:p>
    <w:p w:rsidR="00330C26" w:rsidRDefault="00330C26" w:rsidP="00330C26">
      <w:pPr>
        <w:spacing w:line="360" w:lineRule="auto"/>
        <w:jc w:val="center"/>
        <w:rPr>
          <w:rFonts w:ascii="Courier New" w:hAnsi="Courier New" w:cs="Courier New"/>
          <w:b/>
          <w:u w:val="single"/>
        </w:rPr>
      </w:pPr>
    </w:p>
    <w:p w:rsidR="00330C26" w:rsidRDefault="00330C26" w:rsidP="00330C26">
      <w:pPr>
        <w:spacing w:line="360" w:lineRule="auto"/>
        <w:jc w:val="both"/>
        <w:rPr>
          <w:rFonts w:ascii="Courier New" w:hAnsi="Courier New" w:cs="Courier New"/>
          <w:b/>
        </w:rPr>
      </w:pPr>
      <w:bookmarkStart w:id="0" w:name="_GoBack"/>
      <w:bookmarkEnd w:id="0"/>
      <w:r>
        <w:rPr>
          <w:rFonts w:ascii="Courier New" w:hAnsi="Courier New" w:cs="Courier New"/>
          <w:b/>
          <w:u w:val="single"/>
        </w:rPr>
        <w:t>TÍTULO I</w:t>
      </w:r>
      <w:r>
        <w:rPr>
          <w:rFonts w:ascii="Courier New" w:hAnsi="Courier New" w:cs="Courier New"/>
          <w:b/>
        </w:rPr>
        <w:t>. ASPECTOS PROCESALES</w:t>
      </w:r>
    </w:p>
    <w:p w:rsidR="00330C26" w:rsidRDefault="00330C26" w:rsidP="00330C26">
      <w:pPr>
        <w:spacing w:line="360" w:lineRule="auto"/>
        <w:jc w:val="both"/>
        <w:rPr>
          <w:rFonts w:ascii="Courier New" w:hAnsi="Courier New" w:cs="Courier New"/>
          <w:b/>
          <w:u w:val="single"/>
        </w:rPr>
      </w:pPr>
    </w:p>
    <w:p w:rsidR="00330C26" w:rsidRPr="005B74BD" w:rsidRDefault="00330C26" w:rsidP="005B74BD">
      <w:pPr>
        <w:pStyle w:val="Prrafodelista"/>
        <w:numPr>
          <w:ilvl w:val="0"/>
          <w:numId w:val="2"/>
        </w:numPr>
        <w:spacing w:line="360" w:lineRule="auto"/>
        <w:jc w:val="both"/>
        <w:rPr>
          <w:rFonts w:ascii="Courier New" w:hAnsi="Courier New" w:cs="Courier New"/>
        </w:rPr>
      </w:pPr>
      <w:r w:rsidRPr="005B74BD">
        <w:rPr>
          <w:rFonts w:ascii="Courier New" w:hAnsi="Courier New" w:cs="Courier New"/>
          <w:u w:val="single"/>
        </w:rPr>
        <w:t>Actos alcanzados:</w:t>
      </w:r>
      <w:r w:rsidRPr="005B74BD">
        <w:rPr>
          <w:rFonts w:ascii="Courier New" w:hAnsi="Courier New" w:cs="Courier New"/>
        </w:rPr>
        <w:t xml:space="preserve"> Se notificarán en el domicilio electrónico todas las providencias, resoluciones y sentencias que deban serlo en forma personal o por cédula en el domicilio constituido  y  cuya práctica no deba ser acompañada de documentos en soporte papel.</w:t>
      </w:r>
    </w:p>
    <w:p w:rsidR="00330C26" w:rsidRDefault="00330C26" w:rsidP="005B74BD">
      <w:pPr>
        <w:pStyle w:val="Prrafodelista"/>
        <w:numPr>
          <w:ilvl w:val="0"/>
          <w:numId w:val="2"/>
        </w:numPr>
        <w:spacing w:line="360" w:lineRule="auto"/>
        <w:jc w:val="both"/>
        <w:rPr>
          <w:rFonts w:ascii="Courier New" w:hAnsi="Courier New" w:cs="Courier New"/>
        </w:rPr>
      </w:pPr>
      <w:r w:rsidRPr="005B74BD">
        <w:rPr>
          <w:rFonts w:ascii="Courier New" w:hAnsi="Courier New" w:cs="Courier New"/>
          <w:u w:val="single"/>
        </w:rPr>
        <w:t>Sujetos alcanzados:</w:t>
      </w:r>
      <w:r w:rsidRPr="005B74BD">
        <w:rPr>
          <w:rFonts w:ascii="Courier New" w:hAnsi="Courier New" w:cs="Courier New"/>
        </w:rPr>
        <w:t xml:space="preserve"> Toda persona que litigue por derecho propio, con patrocinio letrado o en ejercicio de una representación legal o convencional, los peritos, síndicos y demás auxiliares deberán constituir domicilio electrónico  conforme lo dispone el Art. 3º, Ley 2.801). Esta constitución deberá efectuarse en la primer presentación </w:t>
      </w:r>
      <w:r w:rsidRPr="005B74BD">
        <w:rPr>
          <w:rFonts w:ascii="Courier New" w:hAnsi="Courier New" w:cs="Courier New"/>
          <w:bCs/>
        </w:rPr>
        <w:t xml:space="preserve">en juicio o  audiencia a la que se concurra, </w:t>
      </w:r>
      <w:r w:rsidRPr="005B74BD">
        <w:rPr>
          <w:rFonts w:ascii="Courier New" w:hAnsi="Courier New" w:cs="Courier New"/>
          <w:color w:val="000000"/>
        </w:rPr>
        <w:t>si es ésta la primera diligencia en que in</w:t>
      </w:r>
      <w:r w:rsidRPr="005B74BD">
        <w:rPr>
          <w:rFonts w:ascii="Courier New" w:hAnsi="Courier New" w:cs="Courier New"/>
          <w:color w:val="000000"/>
        </w:rPr>
        <w:softHyphen/>
        <w:t>ter</w:t>
      </w:r>
      <w:r w:rsidRPr="005B74BD">
        <w:rPr>
          <w:rFonts w:ascii="Courier New" w:hAnsi="Courier New" w:cs="Courier New"/>
          <w:color w:val="000000"/>
        </w:rPr>
        <w:softHyphen/>
        <w:t>viene</w:t>
      </w:r>
      <w:r w:rsidRPr="005B74BD">
        <w:rPr>
          <w:rFonts w:ascii="Courier New" w:hAnsi="Courier New" w:cs="Courier New"/>
          <w:bCs/>
        </w:rPr>
        <w:t xml:space="preserve"> (Art. 40 del C.P.C. y C.)</w:t>
      </w:r>
      <w:r w:rsidRPr="005B74BD">
        <w:rPr>
          <w:rFonts w:ascii="Courier New" w:hAnsi="Courier New" w:cs="Courier New"/>
        </w:rPr>
        <w:t>.-</w:t>
      </w:r>
    </w:p>
    <w:p w:rsidR="005B74BD" w:rsidRDefault="005B74BD" w:rsidP="005B74BD">
      <w:pPr>
        <w:spacing w:line="360" w:lineRule="auto"/>
        <w:ind w:left="930"/>
        <w:jc w:val="both"/>
        <w:rPr>
          <w:rFonts w:ascii="Courier New" w:hAnsi="Courier New" w:cs="Courier New"/>
        </w:rPr>
      </w:pPr>
      <w:r>
        <w:rPr>
          <w:rFonts w:ascii="Courier New" w:hAnsi="Courier New" w:cs="Courier New"/>
        </w:rPr>
        <w:t>A los efectos del presente artículo, los sujetos alcanzados deberán gestionar la asignación, por el Poder Judicial, de una casilla de correo electrónico, en la forma prevista en el anexo I de este Reglamento.</w:t>
      </w:r>
    </w:p>
    <w:p w:rsidR="005B74BD" w:rsidRDefault="005B74BD" w:rsidP="005B74BD">
      <w:pPr>
        <w:pStyle w:val="Prrafodelista"/>
        <w:numPr>
          <w:ilvl w:val="0"/>
          <w:numId w:val="2"/>
        </w:numPr>
        <w:spacing w:line="360" w:lineRule="auto"/>
        <w:jc w:val="both"/>
        <w:rPr>
          <w:rFonts w:ascii="Courier New" w:hAnsi="Courier New" w:cs="Courier New"/>
        </w:rPr>
      </w:pPr>
      <w:r w:rsidRPr="005B74BD">
        <w:rPr>
          <w:rFonts w:ascii="Courier New" w:hAnsi="Courier New" w:cs="Courier New"/>
          <w:u w:val="single"/>
        </w:rPr>
        <w:t>Unificación de domicilio electrónico.</w:t>
      </w:r>
      <w:r w:rsidRPr="005B74BD">
        <w:rPr>
          <w:rFonts w:ascii="Courier New" w:hAnsi="Courier New" w:cs="Courier New"/>
        </w:rPr>
        <w:t xml:space="preserve"> En los casos en que se registre más de un letrado por parte, se consideran notificados todos en el domicilio electrónico que se constituya como principal en el expediente.</w:t>
      </w:r>
    </w:p>
    <w:p w:rsidR="005B74BD" w:rsidRDefault="005B74BD" w:rsidP="005B74BD">
      <w:pPr>
        <w:pStyle w:val="Prrafodelista"/>
        <w:numPr>
          <w:ilvl w:val="0"/>
          <w:numId w:val="2"/>
        </w:numPr>
        <w:spacing w:line="360" w:lineRule="auto"/>
        <w:jc w:val="both"/>
        <w:rPr>
          <w:rFonts w:ascii="Courier New" w:hAnsi="Courier New" w:cs="Courier New"/>
        </w:rPr>
      </w:pPr>
      <w:r w:rsidRPr="005B74BD">
        <w:rPr>
          <w:rFonts w:ascii="Courier New" w:hAnsi="Courier New" w:cs="Courier New"/>
          <w:u w:val="single"/>
        </w:rPr>
        <w:t>Incumplimiento.</w:t>
      </w:r>
      <w:r w:rsidRPr="005B74BD">
        <w:rPr>
          <w:rFonts w:ascii="Courier New" w:hAnsi="Courier New" w:cs="Courier New"/>
        </w:rPr>
        <w:t xml:space="preserve"> En caso de incumplimiento de lo establecido precedentemente, las notificaciones que deban practicarse en el domicilio electrónico </w:t>
      </w:r>
      <w:r w:rsidRPr="005B74BD">
        <w:rPr>
          <w:rFonts w:ascii="Courier New" w:hAnsi="Courier New" w:cs="Courier New"/>
        </w:rPr>
        <w:lastRenderedPageBreak/>
        <w:t>se tendrán por efectuadas en los estrados del órgano interviniente (cfr. Art. 3º, Ley 2.801).</w:t>
      </w:r>
    </w:p>
    <w:p w:rsidR="005B74BD" w:rsidRPr="005B74BD" w:rsidRDefault="005B74BD" w:rsidP="005B74BD">
      <w:pPr>
        <w:pStyle w:val="Prrafodelista"/>
        <w:numPr>
          <w:ilvl w:val="0"/>
          <w:numId w:val="2"/>
        </w:numPr>
        <w:spacing w:line="360" w:lineRule="auto"/>
        <w:jc w:val="both"/>
        <w:rPr>
          <w:rFonts w:ascii="Courier New" w:hAnsi="Courier New" w:cs="Courier New"/>
          <w:u w:val="single"/>
        </w:rPr>
      </w:pPr>
      <w:r w:rsidRPr="005B74BD">
        <w:rPr>
          <w:rFonts w:ascii="Courier New" w:hAnsi="Courier New" w:cs="Courier New"/>
          <w:u w:val="single"/>
        </w:rPr>
        <w:t>Subsistencia del domicilio</w:t>
      </w:r>
      <w:r w:rsidRPr="005B74BD">
        <w:rPr>
          <w:rFonts w:ascii="Courier New" w:hAnsi="Courier New" w:cs="Courier New"/>
        </w:rPr>
        <w:t xml:space="preserve">: Este domicilio subsistirá para todos los efectos legales hasta la terminación del juicio o su archivo mientras no se constituya otro. </w:t>
      </w:r>
    </w:p>
    <w:p w:rsidR="005B74BD" w:rsidRPr="005B74BD" w:rsidRDefault="005B74BD" w:rsidP="005B74BD">
      <w:pPr>
        <w:pStyle w:val="Prrafodelista"/>
        <w:numPr>
          <w:ilvl w:val="0"/>
          <w:numId w:val="2"/>
        </w:numPr>
        <w:spacing w:line="360" w:lineRule="auto"/>
        <w:jc w:val="both"/>
        <w:rPr>
          <w:rFonts w:ascii="Courier New" w:hAnsi="Courier New" w:cs="Courier New"/>
        </w:rPr>
      </w:pPr>
      <w:r w:rsidRPr="005B74BD">
        <w:rPr>
          <w:rFonts w:ascii="Courier New" w:hAnsi="Courier New" w:cs="Courier New"/>
          <w:u w:val="single"/>
          <w:lang w:val="es-ES_tradnl"/>
        </w:rPr>
        <w:t>Momento en que opera la notificación.</w:t>
      </w:r>
      <w:r w:rsidRPr="005B74BD">
        <w:rPr>
          <w:rFonts w:ascii="Courier New" w:hAnsi="Courier New" w:cs="Courier New"/>
          <w:lang w:val="es-ES_tradnl"/>
        </w:rPr>
        <w:t xml:space="preserve"> La notificación se tendrá por cumplida el día y hora en que la comunicación ingrese al domicilio electrónico de la persona notificada (Art. 2º, Ley 2.801). Si el ingreso se produjere en día inhábil se tendrá por notificado el día hábil inmediato posterior.</w:t>
      </w:r>
    </w:p>
    <w:p w:rsidR="005B74BD" w:rsidRDefault="005B74BD" w:rsidP="005B74BD">
      <w:pPr>
        <w:pStyle w:val="Prrafodelista"/>
        <w:numPr>
          <w:ilvl w:val="0"/>
          <w:numId w:val="2"/>
        </w:numPr>
        <w:spacing w:line="360" w:lineRule="auto"/>
        <w:jc w:val="both"/>
        <w:rPr>
          <w:rFonts w:ascii="Courier New" w:hAnsi="Courier New" w:cs="Courier New"/>
        </w:rPr>
      </w:pPr>
      <w:r w:rsidRPr="005B74BD">
        <w:rPr>
          <w:rFonts w:ascii="Courier New" w:hAnsi="Courier New" w:cs="Courier New"/>
          <w:u w:val="single"/>
        </w:rPr>
        <w:t>Plazos</w:t>
      </w:r>
      <w:r w:rsidRPr="005B74BD">
        <w:rPr>
          <w:rFonts w:ascii="Courier New" w:hAnsi="Courier New" w:cs="Courier New"/>
        </w:rPr>
        <w:t>. Los plazos se computarán según la normativa procesal que corresponda.</w:t>
      </w:r>
    </w:p>
    <w:p w:rsidR="005B74BD" w:rsidRPr="005B74BD" w:rsidRDefault="005B74BD" w:rsidP="005B74BD">
      <w:pPr>
        <w:pStyle w:val="Prrafodelista"/>
        <w:numPr>
          <w:ilvl w:val="0"/>
          <w:numId w:val="2"/>
        </w:numPr>
        <w:spacing w:line="360" w:lineRule="auto"/>
        <w:jc w:val="both"/>
        <w:rPr>
          <w:rFonts w:ascii="Courier New" w:hAnsi="Courier New" w:cs="Courier New"/>
        </w:rPr>
      </w:pPr>
      <w:r w:rsidRPr="005B74BD">
        <w:rPr>
          <w:rFonts w:ascii="Courier New" w:hAnsi="Courier New" w:cs="Courier New"/>
          <w:u w:val="single"/>
        </w:rPr>
        <w:t>Contenido de la cédula</w:t>
      </w:r>
      <w:r w:rsidRPr="005B74BD">
        <w:rPr>
          <w:rFonts w:ascii="Courier New" w:hAnsi="Courier New" w:cs="Courier New"/>
        </w:rPr>
        <w:t>. L</w:t>
      </w:r>
      <w:r w:rsidRPr="005B74BD">
        <w:rPr>
          <w:rFonts w:ascii="Courier New" w:hAnsi="Courier New" w:cs="Courier New"/>
          <w:lang w:val="es-ES_tradnl"/>
        </w:rPr>
        <w:t>a cédula electrónica de notificación contendrá todos los datos exigidos por el Código Procesal Civil y Comercial de la Provincia para la cédula confeccionada en soporte papel.</w:t>
      </w:r>
      <w:r w:rsidRPr="00750B8C">
        <w:t xml:space="preserve"> </w:t>
      </w:r>
      <w:r w:rsidRPr="005B74BD">
        <w:rPr>
          <w:rFonts w:ascii="Courier New" w:hAnsi="Courier New" w:cs="Courier New"/>
          <w:lang w:val="es-ES_tradnl"/>
        </w:rPr>
        <w:t>En caso de adjuntarse un documento electrónico deberá consignarse expresamente.</w:t>
      </w:r>
    </w:p>
    <w:p w:rsidR="005B74BD" w:rsidRDefault="005B74BD" w:rsidP="005B74BD">
      <w:pPr>
        <w:pStyle w:val="Prrafodelista"/>
        <w:numPr>
          <w:ilvl w:val="0"/>
          <w:numId w:val="2"/>
        </w:numPr>
        <w:spacing w:line="360" w:lineRule="auto"/>
        <w:jc w:val="both"/>
        <w:rPr>
          <w:rFonts w:ascii="Courier New" w:hAnsi="Courier New" w:cs="Courier New"/>
        </w:rPr>
      </w:pPr>
      <w:r w:rsidRPr="005B74BD">
        <w:rPr>
          <w:rFonts w:ascii="Courier New" w:hAnsi="Courier New" w:cs="Courier New"/>
          <w:u w:val="single"/>
        </w:rPr>
        <w:t>Cuestionamiento de la validez</w:t>
      </w:r>
      <w:r w:rsidRPr="005B74BD">
        <w:rPr>
          <w:rFonts w:ascii="Courier New" w:hAnsi="Courier New" w:cs="Courier New"/>
        </w:rPr>
        <w:t>: En aquellos supuestos que se cuestione la validez de la notificación cursada, será de aplicación, en lo pertinente, lo establecido por el artículo 149 y concordantes del Código Procesal Civil y Comercial de la Provincia del Neuquén. A los fines establecidos por el artículo 395 de dicho Código, deberá requerirse al administrador del sistema de notificaciones electrónicas que produzca un informe circunstanciado de los antecedentes existentes en el servidor vinculados con la notificación cuestionada.</w:t>
      </w:r>
    </w:p>
    <w:p w:rsidR="005B74BD" w:rsidRDefault="005B74BD" w:rsidP="005B74BD">
      <w:pPr>
        <w:pStyle w:val="Prrafodelista"/>
        <w:numPr>
          <w:ilvl w:val="0"/>
          <w:numId w:val="2"/>
        </w:numPr>
        <w:spacing w:line="360" w:lineRule="auto"/>
        <w:jc w:val="both"/>
        <w:rPr>
          <w:rFonts w:ascii="Courier New" w:hAnsi="Courier New" w:cs="Courier New"/>
        </w:rPr>
      </w:pPr>
      <w:r w:rsidRPr="005B74BD">
        <w:rPr>
          <w:rFonts w:ascii="Courier New" w:hAnsi="Courier New" w:cs="Courier New"/>
          <w:u w:val="single"/>
        </w:rPr>
        <w:t>Coexistencia de sistemas.</w:t>
      </w:r>
      <w:r w:rsidRPr="005B74BD">
        <w:rPr>
          <w:rFonts w:ascii="Courier New" w:hAnsi="Courier New" w:cs="Courier New"/>
        </w:rPr>
        <w:t xml:space="preserve"> Todas las notificaciones  que deban practicarse personalmente o por cédula que deban diligenciarse en el domicilio real o, en </w:t>
      </w:r>
      <w:r w:rsidRPr="005B74BD">
        <w:rPr>
          <w:rFonts w:ascii="Courier New" w:hAnsi="Courier New" w:cs="Courier New"/>
        </w:rPr>
        <w:lastRenderedPageBreak/>
        <w:t>el domicilio constituido pero que deban acompañarse de documentos que no formen parte del sistema digital del Poder Judicial, se confeccionarán en soporte papel y se diligenciarán a través de la Oficina de notificaciones.</w:t>
      </w:r>
    </w:p>
    <w:p w:rsidR="005B74BD" w:rsidRPr="005B74BD" w:rsidRDefault="005B74BD" w:rsidP="005B74BD">
      <w:pPr>
        <w:pStyle w:val="Prrafodelista"/>
        <w:numPr>
          <w:ilvl w:val="0"/>
          <w:numId w:val="2"/>
        </w:numPr>
        <w:spacing w:line="360" w:lineRule="auto"/>
        <w:jc w:val="both"/>
        <w:rPr>
          <w:rFonts w:ascii="Courier New" w:hAnsi="Courier New" w:cs="Courier New"/>
        </w:rPr>
      </w:pPr>
      <w:r w:rsidRPr="005B74BD">
        <w:rPr>
          <w:rFonts w:ascii="Courier New" w:hAnsi="Courier New" w:cs="Courier New"/>
          <w:u w:val="single"/>
        </w:rPr>
        <w:t>Disposición Transitoria</w:t>
      </w:r>
      <w:r>
        <w:rPr>
          <w:rFonts w:ascii="Courier New" w:hAnsi="Courier New" w:cs="Courier New"/>
          <w:u w:val="single"/>
        </w:rPr>
        <w:t>s:</w:t>
      </w:r>
      <w:r w:rsidRPr="005B74BD">
        <w:rPr>
          <w:rFonts w:ascii="Courier New" w:hAnsi="Courier New" w:cs="Courier New"/>
        </w:rPr>
        <w:t xml:space="preserve"> </w:t>
      </w:r>
    </w:p>
    <w:p w:rsidR="005B74BD" w:rsidRDefault="005B74BD" w:rsidP="005B74BD">
      <w:pPr>
        <w:spacing w:line="360" w:lineRule="auto"/>
        <w:jc w:val="both"/>
        <w:rPr>
          <w:rFonts w:ascii="Courier New" w:hAnsi="Courier New" w:cs="Courier New"/>
        </w:rPr>
      </w:pPr>
      <w:r>
        <w:rPr>
          <w:rFonts w:ascii="Courier New" w:hAnsi="Courier New" w:cs="Courier New"/>
        </w:rPr>
        <w:t>11</w:t>
      </w:r>
      <w:r>
        <w:rPr>
          <w:rFonts w:ascii="Courier New" w:hAnsi="Courier New" w:cs="Courier New"/>
        </w:rPr>
        <w:t xml:space="preserve">.1) Las cédulas confeccionadas en soporte papel que hubieran sido presentadas antes de  la entrada en vigencia del nuevo sistema, se libarán y diligenciarán </w:t>
      </w:r>
      <w:proofErr w:type="gramStart"/>
      <w:r>
        <w:rPr>
          <w:rFonts w:ascii="Courier New" w:hAnsi="Courier New" w:cs="Courier New"/>
        </w:rPr>
        <w:t>normalmente .</w:t>
      </w:r>
      <w:proofErr w:type="gramEnd"/>
      <w:r>
        <w:rPr>
          <w:rFonts w:ascii="Courier New" w:hAnsi="Courier New" w:cs="Courier New"/>
        </w:rPr>
        <w:t xml:space="preserve"> </w:t>
      </w:r>
    </w:p>
    <w:p w:rsidR="005B74BD" w:rsidRPr="005B74BD" w:rsidRDefault="005B74BD" w:rsidP="005B74BD">
      <w:pPr>
        <w:spacing w:line="360" w:lineRule="auto"/>
        <w:jc w:val="both"/>
        <w:rPr>
          <w:rFonts w:ascii="Courier New" w:hAnsi="Courier New" w:cs="Courier New"/>
          <w:sz w:val="20"/>
          <w:szCs w:val="20"/>
        </w:rPr>
      </w:pPr>
      <w:r>
        <w:rPr>
          <w:rFonts w:ascii="Courier New" w:hAnsi="Courier New" w:cs="Courier New"/>
        </w:rPr>
        <w:t>11.</w:t>
      </w:r>
      <w:r w:rsidRPr="005B74BD">
        <w:rPr>
          <w:rFonts w:ascii="Courier New" w:hAnsi="Courier New" w:cs="Courier New"/>
        </w:rPr>
        <w:t>2) Expedientes en trámite. La constitución de domicilio electrónico deberá concretarse dentro de 5 (cinco) días hábiles, computados a partir de la fecha que se establezca como de entrada en vigencia del presente reglamento y de acuerdo al plan de implementación, lo que se publicará en el Boletín Oficial, en un diario de circulación en la circunscripción en la que se implemente, procediéndose así también a la colocación de avisos en las carteleras de los Juzgados y publicación de la página web del poder judicial</w:t>
      </w:r>
    </w:p>
    <w:p w:rsidR="0062273B" w:rsidRDefault="0062273B"/>
    <w:sectPr w:rsidR="0062273B" w:rsidSect="005A1C7B">
      <w:pgSz w:w="11906" w:h="16838"/>
      <w:pgMar w:top="1417" w:right="851" w:bottom="851"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B6E2A"/>
    <w:multiLevelType w:val="hybridMultilevel"/>
    <w:tmpl w:val="7B807964"/>
    <w:lvl w:ilvl="0" w:tplc="52085BEA">
      <w:start w:val="1"/>
      <w:numFmt w:val="decimal"/>
      <w:lvlText w:val="%1)"/>
      <w:lvlJc w:val="left"/>
      <w:pPr>
        <w:tabs>
          <w:tab w:val="num" w:pos="360"/>
        </w:tabs>
        <w:ind w:left="360" w:hanging="360"/>
      </w:pPr>
      <w:rPr>
        <w:rFonts w:cs="Times New Roman"/>
        <w:b w:val="0"/>
      </w:rPr>
    </w:lvl>
    <w:lvl w:ilvl="1" w:tplc="0C0A0019" w:tentative="1">
      <w:start w:val="1"/>
      <w:numFmt w:val="lowerLetter"/>
      <w:lvlText w:val="%2."/>
      <w:lvlJc w:val="left"/>
      <w:pPr>
        <w:tabs>
          <w:tab w:val="num" w:pos="1036"/>
        </w:tabs>
        <w:ind w:left="1036" w:hanging="360"/>
      </w:pPr>
      <w:rPr>
        <w:rFonts w:cs="Times New Roman"/>
      </w:rPr>
    </w:lvl>
    <w:lvl w:ilvl="2" w:tplc="0C0A001B" w:tentative="1">
      <w:start w:val="1"/>
      <w:numFmt w:val="lowerRoman"/>
      <w:lvlText w:val="%3."/>
      <w:lvlJc w:val="right"/>
      <w:pPr>
        <w:tabs>
          <w:tab w:val="num" w:pos="1756"/>
        </w:tabs>
        <w:ind w:left="1756" w:hanging="180"/>
      </w:pPr>
      <w:rPr>
        <w:rFonts w:cs="Times New Roman"/>
      </w:rPr>
    </w:lvl>
    <w:lvl w:ilvl="3" w:tplc="0C0A000F" w:tentative="1">
      <w:start w:val="1"/>
      <w:numFmt w:val="decimal"/>
      <w:lvlText w:val="%4."/>
      <w:lvlJc w:val="left"/>
      <w:pPr>
        <w:tabs>
          <w:tab w:val="num" w:pos="2476"/>
        </w:tabs>
        <w:ind w:left="2476" w:hanging="360"/>
      </w:pPr>
      <w:rPr>
        <w:rFonts w:cs="Times New Roman"/>
      </w:rPr>
    </w:lvl>
    <w:lvl w:ilvl="4" w:tplc="0C0A0019" w:tentative="1">
      <w:start w:val="1"/>
      <w:numFmt w:val="lowerLetter"/>
      <w:lvlText w:val="%5."/>
      <w:lvlJc w:val="left"/>
      <w:pPr>
        <w:tabs>
          <w:tab w:val="num" w:pos="3196"/>
        </w:tabs>
        <w:ind w:left="3196" w:hanging="360"/>
      </w:pPr>
      <w:rPr>
        <w:rFonts w:cs="Times New Roman"/>
      </w:rPr>
    </w:lvl>
    <w:lvl w:ilvl="5" w:tplc="0C0A001B" w:tentative="1">
      <w:start w:val="1"/>
      <w:numFmt w:val="lowerRoman"/>
      <w:lvlText w:val="%6."/>
      <w:lvlJc w:val="right"/>
      <w:pPr>
        <w:tabs>
          <w:tab w:val="num" w:pos="3916"/>
        </w:tabs>
        <w:ind w:left="3916" w:hanging="180"/>
      </w:pPr>
      <w:rPr>
        <w:rFonts w:cs="Times New Roman"/>
      </w:rPr>
    </w:lvl>
    <w:lvl w:ilvl="6" w:tplc="0C0A000F" w:tentative="1">
      <w:start w:val="1"/>
      <w:numFmt w:val="decimal"/>
      <w:lvlText w:val="%7."/>
      <w:lvlJc w:val="left"/>
      <w:pPr>
        <w:tabs>
          <w:tab w:val="num" w:pos="4636"/>
        </w:tabs>
        <w:ind w:left="4636" w:hanging="360"/>
      </w:pPr>
      <w:rPr>
        <w:rFonts w:cs="Times New Roman"/>
      </w:rPr>
    </w:lvl>
    <w:lvl w:ilvl="7" w:tplc="0C0A0019" w:tentative="1">
      <w:start w:val="1"/>
      <w:numFmt w:val="lowerLetter"/>
      <w:lvlText w:val="%8."/>
      <w:lvlJc w:val="left"/>
      <w:pPr>
        <w:tabs>
          <w:tab w:val="num" w:pos="5356"/>
        </w:tabs>
        <w:ind w:left="5356" w:hanging="360"/>
      </w:pPr>
      <w:rPr>
        <w:rFonts w:cs="Times New Roman"/>
      </w:rPr>
    </w:lvl>
    <w:lvl w:ilvl="8" w:tplc="0C0A001B" w:tentative="1">
      <w:start w:val="1"/>
      <w:numFmt w:val="lowerRoman"/>
      <w:lvlText w:val="%9."/>
      <w:lvlJc w:val="right"/>
      <w:pPr>
        <w:tabs>
          <w:tab w:val="num" w:pos="6076"/>
        </w:tabs>
        <w:ind w:left="6076" w:hanging="180"/>
      </w:pPr>
      <w:rPr>
        <w:rFonts w:cs="Times New Roman"/>
      </w:rPr>
    </w:lvl>
  </w:abstractNum>
  <w:abstractNum w:abstractNumId="1">
    <w:nsid w:val="4ACF3B0C"/>
    <w:multiLevelType w:val="hybridMultilevel"/>
    <w:tmpl w:val="49720420"/>
    <w:lvl w:ilvl="0" w:tplc="8F5C3E2C">
      <w:start w:val="1"/>
      <w:numFmt w:val="decimal"/>
      <w:lvlText w:val="%1)"/>
      <w:lvlJc w:val="left"/>
      <w:pPr>
        <w:ind w:left="930" w:hanging="570"/>
      </w:pPr>
      <w:rPr>
        <w:rFonts w:cs="Times New Roman"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C26"/>
    <w:rsid w:val="00330C26"/>
    <w:rsid w:val="005A1C7B"/>
    <w:rsid w:val="005B74BD"/>
    <w:rsid w:val="006227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C26"/>
    <w:pPr>
      <w:spacing w:line="240" w:lineRule="auto"/>
      <w:jc w:val="left"/>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74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C26"/>
    <w:pPr>
      <w:spacing w:line="240" w:lineRule="auto"/>
      <w:jc w:val="left"/>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7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610</Words>
  <Characters>3356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Van Der Walt</dc:creator>
  <cp:keywords/>
  <dc:description/>
  <cp:lastModifiedBy>Isabel Van Der Walt</cp:lastModifiedBy>
  <cp:revision>1</cp:revision>
  <dcterms:created xsi:type="dcterms:W3CDTF">2012-08-14T14:05:00Z</dcterms:created>
  <dcterms:modified xsi:type="dcterms:W3CDTF">2012-08-14T14:48:00Z</dcterms:modified>
</cp:coreProperties>
</file>