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0C8" w:rsidRPr="00037524" w:rsidRDefault="007F60C8" w:rsidP="007F60C8">
      <w:pPr>
        <w:spacing w:line="360" w:lineRule="auto"/>
        <w:jc w:val="right"/>
        <w:rPr>
          <w:rFonts w:ascii="Courier New" w:hAnsi="Courier New" w:cs="Courier New"/>
        </w:rPr>
      </w:pPr>
    </w:p>
    <w:p w:rsidR="007F60C8" w:rsidRPr="00037524" w:rsidRDefault="007F60C8" w:rsidP="007F60C8">
      <w:pPr>
        <w:spacing w:line="360" w:lineRule="auto"/>
        <w:jc w:val="center"/>
        <w:rPr>
          <w:rFonts w:ascii="Courier New" w:hAnsi="Courier New" w:cs="Courier New"/>
          <w:b/>
          <w:bCs/>
        </w:rPr>
      </w:pPr>
      <w:r w:rsidRPr="00037524">
        <w:rPr>
          <w:rFonts w:ascii="Courier New" w:hAnsi="Courier New" w:cs="Courier New"/>
          <w:b/>
          <w:bCs/>
        </w:rPr>
        <w:t>La Legislatura de la Provincia del Neuquén</w:t>
      </w:r>
    </w:p>
    <w:p w:rsidR="007F60C8" w:rsidRPr="00037524" w:rsidRDefault="007F60C8" w:rsidP="007F60C8">
      <w:pPr>
        <w:spacing w:line="360" w:lineRule="auto"/>
        <w:jc w:val="center"/>
        <w:rPr>
          <w:rFonts w:ascii="Courier New" w:hAnsi="Courier New" w:cs="Courier New"/>
          <w:b/>
          <w:bCs/>
        </w:rPr>
      </w:pPr>
      <w:r w:rsidRPr="00037524">
        <w:rPr>
          <w:rFonts w:ascii="Courier New" w:hAnsi="Courier New" w:cs="Courier New"/>
          <w:b/>
          <w:bCs/>
        </w:rPr>
        <w:t>Sanciona con Fuerza de</w:t>
      </w:r>
    </w:p>
    <w:p w:rsidR="007F60C8" w:rsidRPr="00037524" w:rsidRDefault="007F60C8" w:rsidP="007F60C8">
      <w:pPr>
        <w:spacing w:line="360" w:lineRule="auto"/>
        <w:jc w:val="center"/>
        <w:rPr>
          <w:rFonts w:ascii="Courier New" w:hAnsi="Courier New" w:cs="Courier New"/>
          <w:b/>
          <w:bCs/>
        </w:rPr>
      </w:pPr>
      <w:r w:rsidRPr="00037524">
        <w:rPr>
          <w:rFonts w:ascii="Courier New" w:hAnsi="Courier New" w:cs="Courier New"/>
          <w:b/>
          <w:bCs/>
        </w:rPr>
        <w:t>Ley:</w:t>
      </w:r>
    </w:p>
    <w:p w:rsidR="007F60C8" w:rsidRPr="00037524" w:rsidRDefault="007F60C8" w:rsidP="007F60C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both"/>
        <w:rPr>
          <w:rFonts w:ascii="Courier New" w:hAnsi="Courier New" w:cs="Courier New"/>
        </w:rPr>
      </w:pPr>
    </w:p>
    <w:p w:rsidR="007F60C8" w:rsidRPr="00037524" w:rsidRDefault="007F60C8" w:rsidP="007F60C8">
      <w:pPr>
        <w:tabs>
          <w:tab w:val="left" w:pos="1247"/>
        </w:tabs>
        <w:spacing w:line="360" w:lineRule="auto"/>
        <w:jc w:val="both"/>
        <w:rPr>
          <w:rFonts w:ascii="Courier New" w:hAnsi="Courier New" w:cs="Courier New"/>
        </w:rPr>
      </w:pPr>
      <w:r w:rsidRPr="00037524">
        <w:rPr>
          <w:rFonts w:ascii="Courier New" w:hAnsi="Courier New" w:cs="Courier New"/>
          <w:b/>
          <w:bCs/>
          <w:u w:val="single"/>
        </w:rPr>
        <w:t>Artículo 1°:</w:t>
      </w:r>
      <w:r w:rsidRPr="00037524">
        <w:rPr>
          <w:rFonts w:ascii="Courier New" w:hAnsi="Courier New" w:cs="Courier New"/>
        </w:rPr>
        <w:t xml:space="preserve"> Incorporar como artículo 20 bis del Código Fiscal de la Provincia –Ley 2680- el siguiente texto:</w:t>
      </w:r>
    </w:p>
    <w:p w:rsidR="007F60C8" w:rsidRPr="00037524" w:rsidRDefault="007F60C8" w:rsidP="007F60C8">
      <w:pPr>
        <w:pStyle w:val="Sangra2detindependiente"/>
        <w:rPr>
          <w:rFonts w:ascii="Courier New" w:hAnsi="Courier New" w:cs="Courier New"/>
        </w:rPr>
      </w:pPr>
      <w:r w:rsidRPr="00037524">
        <w:rPr>
          <w:rFonts w:ascii="Courier New" w:hAnsi="Courier New" w:cs="Courier New"/>
        </w:rPr>
        <w:t xml:space="preserve">“art.20 bis: Facultades del Tribunal Superior de Justicia. </w:t>
      </w:r>
    </w:p>
    <w:p w:rsidR="007F60C8" w:rsidRPr="00037524" w:rsidRDefault="007F60C8" w:rsidP="007F60C8">
      <w:pPr>
        <w:pStyle w:val="Sangra2detindependiente"/>
        <w:rPr>
          <w:rFonts w:ascii="Courier New" w:hAnsi="Courier New" w:cs="Courier New"/>
        </w:rPr>
      </w:pPr>
      <w:r w:rsidRPr="00037524">
        <w:rPr>
          <w:rFonts w:ascii="Courier New" w:hAnsi="Courier New" w:cs="Courier New"/>
        </w:rPr>
        <w:t>Las atribuciones, facultades de reglamentación e interpretación conferidas por el presente código a la Administración Fiscal le competen también al Tribunal Superior de Justicia en materia de tasas retributivas por actuaciones judiciales y servicios administrativos, en cuanto fueren pertinentes.”</w:t>
      </w:r>
    </w:p>
    <w:p w:rsidR="007F60C8" w:rsidRPr="00037524" w:rsidRDefault="007F60C8" w:rsidP="007F60C8">
      <w:pPr>
        <w:tabs>
          <w:tab w:val="left" w:pos="1247"/>
        </w:tabs>
        <w:spacing w:line="360" w:lineRule="auto"/>
        <w:jc w:val="both"/>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Articulo 2º:</w:t>
      </w:r>
      <w:r w:rsidRPr="00037524">
        <w:rPr>
          <w:rFonts w:ascii="Courier New" w:hAnsi="Courier New" w:cs="Courier New"/>
        </w:rPr>
        <w:t xml:space="preserve"> Sustitúyese el art. 286 del Código Fiscal –Ley 2680, con la reforma introducida por Ley 2689- por el siguiente texto:</w:t>
      </w: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rPr>
        <w:tab/>
        <w:t>“</w:t>
      </w:r>
      <w:r w:rsidRPr="00037524">
        <w:rPr>
          <w:rFonts w:ascii="Courier New" w:hAnsi="Courier New" w:cs="Courier New"/>
          <w:b/>
          <w:bCs/>
        </w:rPr>
        <w:t>Monto imponible</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Artículo 286: Las actuaciones que se inicien ante las autoridades judiciales estarán sujetas al pago de una tasa proporcional que fijará la ley impositiva y que se determinará tomando en consideración las siguientes pautas: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a) En los juicios por sumas de dinero o de derechos susceptibles de apreciación pecuniaria, se tomará como base el monto de la demanda. Si, a la postre el monto de la sentencia firme o acuerdo resultare superior al de la demanda, la diferencia resultante deberá hacerse efectiva dentro de los 15 días de la </w:t>
      </w:r>
      <w:r w:rsidRPr="00037524">
        <w:rPr>
          <w:rFonts w:ascii="Courier New" w:hAnsi="Courier New" w:cs="Courier New"/>
        </w:rPr>
        <w:lastRenderedPageBreak/>
        <w:t>notificación o con anterioridad a la homologación del acuerdo.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En los procesos laborales que finalicen con la homologación de un acuerdo, se tomará como base imponible, el monto de dicho acuerdo.-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b) En los juicios de desalojo, cuando medie contrato de locación, se tomará como base el valor del último alquiler devengado a la fecha de inicio del proceso, multiplicado por doce (12).</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c) En los juicios de desalojo no basados en un contrato de locación, acciones posesorias e interdictos, se tomará como base la valuación fiscal para el pago del Impuesto Inmobiliario.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d) En los juicios de escrituración, se tomara como base la valuación fiscal para el pago del Impuesto Inmobiliario, salvo que el monto del contrato fuera mayor, en cuyo caso se tomará como base este último.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e) En las acciones reales o de prescripción adquisitiva de inmuebles, se tomara como base la valuación fiscal para el pago del Impuesto Inmobiliario.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f) En los juicios de mensura se tomará como base la valuación fiscal del inmueble mensurado, y en los de deslinde la del inmueble del actor.</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g) En los juicios donde se debatan cuestiones atinentes a bienes muebles, se deberá tomar como base el valor de plaza de los mismos. A tales efectos la parte actora, deberá indicar el valor que asigna al bien bajo declaración jurada. El secretario del Juzgado podrá, a los fines de verificar la correspondencia de dicho monto, </w:t>
      </w:r>
      <w:r w:rsidRPr="00037524">
        <w:rPr>
          <w:rFonts w:ascii="Courier New" w:hAnsi="Courier New" w:cs="Courier New"/>
        </w:rPr>
        <w:lastRenderedPageBreak/>
        <w:t>solicitar tasaciones o informes a organismos públicos, para determinar la Tasa. En el supuesto que la Declaración Jurada efectuada por la parte resultare un cincuenta por ciento (50%) menor al monto determinado por el Secretario, el Juez podrá imponer a aquélla una multa que se fijará entre el CINCO POR CIENTO (5%) y el TREINTA POR CIENTO (30%) del monto de la mencionada diferencia. Esa multa tendrá el mismo destino fiscal que la tasa de justicia.</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h) En los juicios sucesorios se tomará como base el activo, excluida la parte ganancial del cónyuge supérstite. Si se tramitaran acumuladas las sucesiones de más de un (1) causante, se aplicará el gravamen independientemente sobre el activo de cada una de ellas.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i) En los trámites de inscripción de declaratorias, testamentos y partición de herencia de extraña jurisdicción, se tomará como base el valor de los bienes que se transmiten en la Provincia. Tratándose de transmisiones acumuladas, el gravamen se aplicará independientemente sobre cada una de ellas.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j) En los procesos concursales, se tomará como base el pasivo verificado y/o admitido del deudor. Cuando se terminen los procesos sin haber llegado a la verificación, la base será el pasivo denunciado.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k) En los pedidos de quiebra formulados por uno o más acreedores, se tomará como base el monto del o los créditos de los peticionantes.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l) En las tercerías de dominio respecto del cual se pretende la prioridad en base al valor fiscal o de </w:t>
      </w:r>
      <w:r w:rsidRPr="00037524">
        <w:rPr>
          <w:rFonts w:ascii="Courier New" w:hAnsi="Courier New" w:cs="Courier New"/>
        </w:rPr>
        <w:lastRenderedPageBreak/>
        <w:t>plaza del bien, según corresponda, y en las de mejor derecho en base al valor del crédito.”</w:t>
      </w:r>
    </w:p>
    <w:p w:rsidR="007F60C8" w:rsidRPr="00037524" w:rsidRDefault="007F60C8" w:rsidP="007F60C8">
      <w:pPr>
        <w:pStyle w:val="Textoindependiente2"/>
        <w:spacing w:line="360" w:lineRule="auto"/>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3°:</w:t>
      </w:r>
      <w:r w:rsidRPr="00037524">
        <w:rPr>
          <w:rFonts w:ascii="Courier New" w:hAnsi="Courier New" w:cs="Courier New"/>
        </w:rPr>
        <w:t xml:space="preserve"> Sustitúyese el art. 287 del Código Fiscal –Ley 2680- por el siguiente texto</w:t>
      </w:r>
    </w:p>
    <w:p w:rsidR="007F60C8" w:rsidRPr="00037524" w:rsidRDefault="007F60C8" w:rsidP="007F60C8">
      <w:pPr>
        <w:pStyle w:val="Textoindependiente2"/>
        <w:spacing w:line="360" w:lineRule="auto"/>
        <w:rPr>
          <w:rFonts w:ascii="Courier New" w:hAnsi="Courier New" w:cs="Courier New"/>
          <w:b/>
          <w:bCs/>
        </w:rPr>
      </w:pPr>
      <w:r w:rsidRPr="00037524">
        <w:rPr>
          <w:rFonts w:ascii="Courier New" w:hAnsi="Courier New" w:cs="Courier New"/>
        </w:rPr>
        <w:tab/>
        <w:t>“</w:t>
      </w:r>
      <w:r w:rsidRPr="00037524">
        <w:rPr>
          <w:rFonts w:ascii="Courier New" w:hAnsi="Courier New" w:cs="Courier New"/>
          <w:b/>
          <w:bCs/>
        </w:rPr>
        <w:t>Oportunidad de pago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Artículo 287</w:t>
      </w:r>
      <w:r w:rsidRPr="00037524">
        <w:rPr>
          <w:rFonts w:ascii="Courier New" w:hAnsi="Courier New" w:cs="Courier New"/>
          <w:b/>
          <w:bCs/>
        </w:rPr>
        <w:t xml:space="preserve">: </w:t>
      </w:r>
      <w:r w:rsidRPr="00037524">
        <w:rPr>
          <w:rFonts w:ascii="Courier New" w:hAnsi="Courier New" w:cs="Courier New"/>
        </w:rPr>
        <w:t>Salvo disposición en contrario, se debe oblar la  tasa judicial en el momento en que se inste la actuación judicial. Se exceptúan las siguientes situaciones: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1) En los procesos concursales se abonará un importe inicial equivalente a la tasa mínima general. El saldo del gravamen deberá satisfacerse en las siguientes oportunidades:</w:t>
      </w:r>
    </w:p>
    <w:p w:rsidR="007F60C8" w:rsidRPr="00037524" w:rsidRDefault="007F60C8" w:rsidP="007F60C8">
      <w:pPr>
        <w:pStyle w:val="Textoindependiente2"/>
        <w:spacing w:line="360" w:lineRule="auto"/>
        <w:ind w:left="1416"/>
        <w:rPr>
          <w:rFonts w:ascii="Courier New" w:hAnsi="Courier New" w:cs="Courier New"/>
        </w:rPr>
      </w:pPr>
      <w:r w:rsidRPr="00037524">
        <w:rPr>
          <w:rFonts w:ascii="Courier New" w:hAnsi="Courier New" w:cs="Courier New"/>
        </w:rPr>
        <w:t>a) En los supuestos de quiebra, al formularse el Informe Final y Proyecto de Distribución el síndico practicará la liquidación de la Tasa de Justicia, la que se deberá abonar antes de cualquier pago o distribución de fondos provenientes de las ventas de los bienes. En las distribuciones complementarias, para la liquidación y pago de la tasa se procederá conforme lo estipulado en el párrafo precedente.</w:t>
      </w:r>
    </w:p>
    <w:p w:rsidR="007F60C8" w:rsidRPr="00037524" w:rsidRDefault="007F60C8" w:rsidP="007F60C8">
      <w:pPr>
        <w:pStyle w:val="Textoindependiente2"/>
        <w:spacing w:line="360" w:lineRule="auto"/>
        <w:ind w:left="1416"/>
        <w:rPr>
          <w:rFonts w:ascii="Courier New" w:hAnsi="Courier New" w:cs="Courier New"/>
        </w:rPr>
      </w:pPr>
      <w:r w:rsidRPr="00037524">
        <w:rPr>
          <w:rFonts w:ascii="Courier New" w:hAnsi="Courier New" w:cs="Courier New"/>
        </w:rPr>
        <w:t xml:space="preserve">b) En los concursos preventivos: </w:t>
      </w:r>
    </w:p>
    <w:p w:rsidR="007F60C8" w:rsidRPr="00037524" w:rsidRDefault="007F60C8" w:rsidP="007F60C8">
      <w:pPr>
        <w:pStyle w:val="Textoindependiente2"/>
        <w:spacing w:line="360" w:lineRule="auto"/>
        <w:ind w:left="2124"/>
        <w:rPr>
          <w:rFonts w:ascii="Courier New" w:hAnsi="Courier New" w:cs="Courier New"/>
        </w:rPr>
      </w:pPr>
      <w:r w:rsidRPr="00037524">
        <w:rPr>
          <w:rFonts w:ascii="Courier New" w:hAnsi="Courier New" w:cs="Courier New"/>
        </w:rPr>
        <w:t>b.1) cuando finalicen por acuerdo judicial o extrajudicial, al  homologarse los mismos.</w:t>
      </w:r>
    </w:p>
    <w:p w:rsidR="007F60C8" w:rsidRPr="00037524" w:rsidRDefault="007F60C8" w:rsidP="007F60C8">
      <w:pPr>
        <w:pStyle w:val="Textoindependiente2"/>
        <w:spacing w:line="360" w:lineRule="auto"/>
        <w:ind w:left="2124"/>
        <w:rPr>
          <w:rFonts w:ascii="Courier New" w:hAnsi="Courier New" w:cs="Courier New"/>
        </w:rPr>
      </w:pPr>
      <w:r w:rsidRPr="00037524">
        <w:rPr>
          <w:rFonts w:ascii="Courier New" w:hAnsi="Courier New" w:cs="Courier New"/>
        </w:rPr>
        <w:t>b.2) en los casos de desistimiento al formularse el pedido por el deudor o a declararse de oficio por el juez.</w:t>
      </w:r>
    </w:p>
    <w:p w:rsidR="007F60C8" w:rsidRPr="00037524" w:rsidRDefault="007F60C8" w:rsidP="007F60C8">
      <w:pPr>
        <w:pStyle w:val="Textoindependiente2"/>
        <w:spacing w:line="360" w:lineRule="auto"/>
        <w:ind w:left="2124"/>
        <w:rPr>
          <w:rFonts w:ascii="Courier New" w:hAnsi="Courier New" w:cs="Courier New"/>
        </w:rPr>
      </w:pPr>
      <w:r w:rsidRPr="00037524">
        <w:rPr>
          <w:rFonts w:ascii="Courier New" w:hAnsi="Courier New" w:cs="Courier New"/>
        </w:rPr>
        <w:lastRenderedPageBreak/>
        <w:t>b.3) En caso de avenimiento, al disponerse la conclusión del proceso.</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2) En los juicios sucesorios se abonará un importe inicial equivalente a la tasa mínima general. El saldo del gravamen deberá satisfacerse al solicitarse la inscripción de la declaratoria de herederos o al dictarse el auto que declara válido el testamento.”</w:t>
      </w:r>
    </w:p>
    <w:p w:rsidR="007F60C8" w:rsidRPr="00037524" w:rsidRDefault="007F60C8" w:rsidP="007F60C8">
      <w:pPr>
        <w:pStyle w:val="Textoindependiente2"/>
        <w:spacing w:line="360" w:lineRule="auto"/>
        <w:ind w:left="705"/>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4°:</w:t>
      </w:r>
      <w:r w:rsidRPr="00037524">
        <w:rPr>
          <w:rFonts w:ascii="Courier New" w:hAnsi="Courier New" w:cs="Courier New"/>
        </w:rPr>
        <w:t xml:space="preserve"> Sustitúyese el art. 288 del Código Fiscal –Ley 2680- por el siguiente texto:</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w:t>
      </w:r>
      <w:r w:rsidRPr="00037524">
        <w:rPr>
          <w:rFonts w:ascii="Courier New" w:hAnsi="Courier New" w:cs="Courier New"/>
          <w:b/>
          <w:bCs/>
        </w:rPr>
        <w:t>Exclusión de la base imponible</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Artículo 288: Para determinar el monto imponible no se tomarán en cuenta los intereses ni las costas. La tasa judicial integrará las costas del proceso y será soportada en definitiva por las partes en la misma proporción en que dichas costas debieran ser satisfechas.”</w:t>
      </w:r>
    </w:p>
    <w:p w:rsidR="007F60C8" w:rsidRPr="00037524" w:rsidRDefault="007F60C8" w:rsidP="007F60C8">
      <w:pPr>
        <w:pStyle w:val="Textoindependiente2"/>
        <w:spacing w:line="360" w:lineRule="auto"/>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5°:</w:t>
      </w:r>
      <w:r w:rsidRPr="00037524">
        <w:rPr>
          <w:rFonts w:ascii="Courier New" w:hAnsi="Courier New" w:cs="Courier New"/>
        </w:rPr>
        <w:t xml:space="preserve"> Sustitúyese el art. 289 del Código Fiscal –Ley 2680- por el siguiente texto:</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w:t>
      </w:r>
      <w:r w:rsidRPr="00037524">
        <w:rPr>
          <w:rFonts w:ascii="Courier New" w:hAnsi="Courier New" w:cs="Courier New"/>
          <w:b/>
          <w:bCs/>
        </w:rPr>
        <w:t>Intimación de pago</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 xml:space="preserve">Artículo 289. En caso de que no se hubiere acreditado el pago de la tasa de Justicia de conformidad a lo dispuesto en este título, el Secretario intimará al obligado para que dentro de los diez (10) días abone la tasa correspondiente. En caso de persistir el incumplimiento, y sin perjuicio de otras medidas que pudieren corresponder, la </w:t>
      </w:r>
      <w:r w:rsidRPr="00037524">
        <w:rPr>
          <w:rFonts w:ascii="Courier New" w:hAnsi="Courier New" w:cs="Courier New"/>
        </w:rPr>
        <w:lastRenderedPageBreak/>
        <w:t>autoridad judicial deberá emitir el certificado de deuda en un plazo máximo de quince (15) días.”</w:t>
      </w:r>
    </w:p>
    <w:p w:rsidR="007F60C8" w:rsidRPr="00037524" w:rsidRDefault="007F60C8" w:rsidP="007F60C8">
      <w:pPr>
        <w:pStyle w:val="Textoindependiente2"/>
        <w:spacing w:line="360" w:lineRule="auto"/>
        <w:ind w:left="705"/>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6°:</w:t>
      </w:r>
      <w:r w:rsidRPr="00037524">
        <w:rPr>
          <w:rFonts w:ascii="Courier New" w:hAnsi="Courier New" w:cs="Courier New"/>
        </w:rPr>
        <w:t xml:space="preserve"> Sustitúyese el art. 291 del Código Fiscal –Ley 2680- por el siguiente texto:</w:t>
      </w:r>
    </w:p>
    <w:p w:rsidR="007F60C8" w:rsidRPr="00037524" w:rsidRDefault="007F60C8" w:rsidP="007F60C8">
      <w:pPr>
        <w:pStyle w:val="Textoindependiente2"/>
        <w:spacing w:line="360" w:lineRule="auto"/>
        <w:ind w:left="705"/>
        <w:rPr>
          <w:rFonts w:ascii="Courier New" w:hAnsi="Courier New" w:cs="Courier New"/>
          <w:b/>
          <w:bCs/>
        </w:rPr>
      </w:pPr>
      <w:r w:rsidRPr="00037524">
        <w:rPr>
          <w:rFonts w:ascii="Courier New" w:hAnsi="Courier New" w:cs="Courier New"/>
        </w:rPr>
        <w:t>“</w:t>
      </w:r>
      <w:r w:rsidRPr="00037524">
        <w:rPr>
          <w:rFonts w:ascii="Courier New" w:hAnsi="Courier New" w:cs="Courier New"/>
          <w:b/>
          <w:bCs/>
        </w:rPr>
        <w:t>Denuncia de acuerdo extrajudicial</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Artículo 291: En los procesos en que no se abonare la tasa a su inicio por alguna de las causas de exención previstas en este Código u otras leyes o se hubiera diferido el pago de la misma o en los supuestos de haberse abonado la tasa por monto indeterminado, y que concluyan por perención de instancia o se hubieran paralizado por inactividad procesal superior a seis meses, el Secretario requerirá a las partes para que bajo Declaración Jurada denuncien si han arribado a un acuerdo extrajudicial que dé por concluido el litigio, acompañándolo en su caso. La negativa de las partes a presentar dicha Declaración Jurada autorizará a que el juez, previo informe del Secretario, aplique sanciones pecuniarias compulsivas y progresivas,  conforme a las facultades reconocidas en el Código Procesal Civil y Comercial.”</w:t>
      </w:r>
    </w:p>
    <w:p w:rsidR="007F60C8" w:rsidRPr="00037524" w:rsidRDefault="007F60C8" w:rsidP="007F60C8">
      <w:pPr>
        <w:pStyle w:val="Textoindependiente2"/>
        <w:spacing w:line="360" w:lineRule="auto"/>
        <w:ind w:left="705"/>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7°:</w:t>
      </w:r>
      <w:r w:rsidRPr="00037524">
        <w:rPr>
          <w:rFonts w:ascii="Courier New" w:hAnsi="Courier New" w:cs="Courier New"/>
        </w:rPr>
        <w:t xml:space="preserve"> Sustitúyese el art. 299 del Código Fiscal –Ley 2680- por el siguiente texto:</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w:t>
      </w:r>
      <w:r w:rsidRPr="00037524">
        <w:rPr>
          <w:rFonts w:ascii="Courier New" w:hAnsi="Courier New" w:cs="Courier New"/>
          <w:b/>
          <w:bCs/>
        </w:rPr>
        <w:t>Ampliación de la base imponible</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 xml:space="preserve">Artículo </w:t>
      </w:r>
      <w:smartTag w:uri="urn:schemas-microsoft-com:office:smarttags" w:element="metricconverter">
        <w:smartTagPr>
          <w:attr w:name="ProductID" w:val="299. A"/>
        </w:smartTagPr>
        <w:r w:rsidRPr="00037524">
          <w:rPr>
            <w:rFonts w:ascii="Courier New" w:hAnsi="Courier New" w:cs="Courier New"/>
          </w:rPr>
          <w:t>299. A</w:t>
        </w:r>
      </w:smartTag>
      <w:r w:rsidRPr="00037524">
        <w:rPr>
          <w:rFonts w:ascii="Courier New" w:hAnsi="Courier New" w:cs="Courier New"/>
        </w:rPr>
        <w:t xml:space="preserve"> los fines tributarios se considerarán como juicios independientes:</w:t>
      </w:r>
    </w:p>
    <w:p w:rsidR="007F60C8" w:rsidRPr="00037524" w:rsidRDefault="007F60C8" w:rsidP="007F60C8">
      <w:pPr>
        <w:pStyle w:val="Textoindependiente2"/>
        <w:spacing w:line="360" w:lineRule="auto"/>
        <w:ind w:firstLine="705"/>
        <w:rPr>
          <w:rFonts w:ascii="Courier New" w:hAnsi="Courier New" w:cs="Courier New"/>
        </w:rPr>
      </w:pPr>
      <w:r w:rsidRPr="00037524">
        <w:rPr>
          <w:rFonts w:ascii="Courier New" w:hAnsi="Courier New" w:cs="Courier New"/>
        </w:rPr>
        <w:t>1) Las ampliaciones de demanda y reconvenciones.</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lastRenderedPageBreak/>
        <w:t>2) Los concursos especiales, incidentes, revisiones, verificaciones tardías y/o cualquier acción interpuesta en el marco de la ley de concursos y quiebras.</w:t>
      </w:r>
    </w:p>
    <w:p w:rsidR="007F60C8" w:rsidRPr="00037524" w:rsidRDefault="007F60C8" w:rsidP="007F60C8">
      <w:pPr>
        <w:pStyle w:val="Textoindependiente2"/>
        <w:spacing w:line="360" w:lineRule="auto"/>
        <w:ind w:left="705"/>
        <w:rPr>
          <w:rFonts w:ascii="Courier New" w:hAnsi="Courier New" w:cs="Courier New"/>
        </w:rPr>
      </w:pPr>
      <w:r w:rsidRPr="00037524">
        <w:rPr>
          <w:rFonts w:ascii="Courier New" w:hAnsi="Courier New" w:cs="Courier New"/>
        </w:rPr>
        <w:t>3) Las tercerías, con excepción de las que tramitan por vía incidental.”</w:t>
      </w:r>
    </w:p>
    <w:p w:rsidR="007F60C8" w:rsidRPr="00037524" w:rsidRDefault="007F60C8" w:rsidP="007F60C8">
      <w:pPr>
        <w:pStyle w:val="Textoindependiente2"/>
        <w:spacing w:line="360" w:lineRule="auto"/>
        <w:rPr>
          <w:rFonts w:ascii="Courier New" w:hAnsi="Courier New" w:cs="Courier New"/>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8°:</w:t>
      </w:r>
      <w:r w:rsidRPr="00037524">
        <w:rPr>
          <w:rFonts w:ascii="Courier New" w:hAnsi="Courier New" w:cs="Courier New"/>
        </w:rPr>
        <w:t xml:space="preserve"> Sustitúyese el art. 296 del Código Fiscal –Ley 2680- por el siguiente texto:</w:t>
      </w: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rPr>
        <w:tab/>
        <w:t>“</w:t>
      </w:r>
      <w:r w:rsidRPr="00037524">
        <w:rPr>
          <w:rFonts w:ascii="Courier New" w:hAnsi="Courier New" w:cs="Courier New"/>
          <w:b/>
          <w:bCs/>
        </w:rPr>
        <w:t>Exención en actuaciones judiciales</w:t>
      </w:r>
    </w:p>
    <w:p w:rsidR="007F60C8" w:rsidRPr="00037524" w:rsidRDefault="007F60C8" w:rsidP="007F60C8">
      <w:pPr>
        <w:pStyle w:val="Textoindependiente2"/>
        <w:spacing w:line="360" w:lineRule="auto"/>
        <w:ind w:firstLine="708"/>
        <w:rPr>
          <w:rFonts w:ascii="Courier New" w:hAnsi="Courier New" w:cs="Courier New"/>
        </w:rPr>
      </w:pPr>
      <w:r w:rsidRPr="00037524">
        <w:rPr>
          <w:rFonts w:ascii="Courier New" w:hAnsi="Courier New" w:cs="Courier New"/>
        </w:rPr>
        <w:t>Artículo 296. No pagarán tasa de Justicia:</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1) Las actuaciones promovidas con motivo de reclamaciones derivadas de las relaciones jurídicas laborales, en la parte correspondiente a empleados u obreros o sus causahabientes.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2) Las actuaciones motivadas por jubilaciones, pensiones o devolución de aportes.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3) Las expropiaciones, cuando el Estado Provincial o Municipal   fuere condenado en costas.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4) Las actuaciones relativas a rectificaciones de partidas expedidas por el Registro Provincial del Estado Civil y Capacidad de las Personas.</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5) Las actuaciones derivadas de las relaciones de familia que no tengan carácter patrimonial, las demandas por alimentos, litis expensas, y las atinentes al estado y capacidad de las personas </w:t>
      </w:r>
      <w:r>
        <w:rPr>
          <w:rFonts w:ascii="Courier New" w:hAnsi="Courier New" w:cs="Courier New"/>
        </w:rPr>
        <w:t xml:space="preserve">y las </w:t>
      </w:r>
      <w:r w:rsidRPr="00037524">
        <w:rPr>
          <w:rFonts w:ascii="Courier New" w:hAnsi="Courier New" w:cs="Courier New"/>
        </w:rPr>
        <w:t>autorizaci</w:t>
      </w:r>
      <w:r>
        <w:rPr>
          <w:rFonts w:ascii="Courier New" w:hAnsi="Courier New" w:cs="Courier New"/>
        </w:rPr>
        <w:t>ones</w:t>
      </w:r>
      <w:r w:rsidRPr="00037524">
        <w:rPr>
          <w:rFonts w:ascii="Courier New" w:hAnsi="Courier New" w:cs="Courier New"/>
        </w:rPr>
        <w:t xml:space="preserve"> para contraer matrimonio </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6) Las actuaciones correspondientes al otorgamiento del beneficio de litigar sin gastos. Si la resolución definitiva fuere denegatoria se pagará la </w:t>
      </w:r>
      <w:r w:rsidRPr="00037524">
        <w:rPr>
          <w:rFonts w:ascii="Courier New" w:hAnsi="Courier New" w:cs="Courier New"/>
        </w:rPr>
        <w:lastRenderedPageBreak/>
        <w:t xml:space="preserve">tasa de justicia que correspondiere al dictarse la resolución. </w:t>
      </w:r>
    </w:p>
    <w:p w:rsidR="007F60C8" w:rsidRPr="00037524" w:rsidRDefault="007F60C8" w:rsidP="007F60C8">
      <w:pPr>
        <w:pStyle w:val="Textoindependiente2"/>
        <w:spacing w:line="360" w:lineRule="auto"/>
        <w:ind w:left="708"/>
        <w:rPr>
          <w:rFonts w:ascii="Courier New" w:hAnsi="Courier New" w:cs="Courier New"/>
        </w:rPr>
      </w:pPr>
      <w:r w:rsidRPr="00037524">
        <w:rPr>
          <w:rFonts w:ascii="Courier New" w:hAnsi="Courier New" w:cs="Courier New"/>
        </w:rPr>
        <w:t xml:space="preserve">7) Las actuaciones promovidas por el Estado Provincial, las Municipalidades y entidades autárquicas. No se encuentran comprendidos en esta disposición los organismos o empresas que ejerzan actos de comercio o desarrollen actividad industrial. </w:t>
      </w:r>
    </w:p>
    <w:p w:rsidR="007F60C8" w:rsidRPr="00037524" w:rsidRDefault="007F60C8" w:rsidP="007F60C8">
      <w:pPr>
        <w:pStyle w:val="Textoindependiente2"/>
        <w:spacing w:line="360" w:lineRule="auto"/>
        <w:ind w:firstLine="708"/>
        <w:rPr>
          <w:rFonts w:ascii="Courier New" w:hAnsi="Courier New" w:cs="Courier New"/>
        </w:rPr>
      </w:pPr>
      <w:r w:rsidRPr="00037524">
        <w:rPr>
          <w:rFonts w:ascii="Courier New" w:hAnsi="Courier New" w:cs="Courier New"/>
        </w:rPr>
        <w:t>8) Las Acciones de Amparo, Hábeas Corpus y Hábeas Data.”</w:t>
      </w:r>
    </w:p>
    <w:p w:rsidR="007F60C8" w:rsidRPr="00037524" w:rsidRDefault="007F60C8" w:rsidP="007F60C8">
      <w:pPr>
        <w:pStyle w:val="Textoindependiente2"/>
        <w:spacing w:line="360" w:lineRule="auto"/>
        <w:rPr>
          <w:rFonts w:ascii="Courier New" w:hAnsi="Courier New" w:cs="Courier New"/>
          <w:b/>
          <w:bCs/>
          <w:u w:val="single"/>
        </w:rPr>
      </w:pPr>
    </w:p>
    <w:p w:rsidR="007F60C8" w:rsidRPr="00037524" w:rsidRDefault="007F60C8" w:rsidP="007F60C8">
      <w:pPr>
        <w:pStyle w:val="Textoindependiente2"/>
        <w:spacing w:line="360" w:lineRule="auto"/>
        <w:rPr>
          <w:rFonts w:ascii="Courier New" w:hAnsi="Courier New" w:cs="Courier New"/>
        </w:rPr>
      </w:pPr>
      <w:r w:rsidRPr="00037524">
        <w:rPr>
          <w:rFonts w:ascii="Courier New" w:hAnsi="Courier New" w:cs="Courier New"/>
          <w:b/>
          <w:bCs/>
          <w:u w:val="single"/>
        </w:rPr>
        <w:t>Artículo 9:</w:t>
      </w:r>
      <w:r w:rsidRPr="00037524">
        <w:rPr>
          <w:rFonts w:ascii="Courier New" w:hAnsi="Courier New" w:cs="Courier New"/>
          <w:b/>
          <w:bCs/>
        </w:rPr>
        <w:t xml:space="preserve"> </w:t>
      </w:r>
      <w:r w:rsidRPr="00037524">
        <w:rPr>
          <w:rFonts w:ascii="Courier New" w:hAnsi="Courier New" w:cs="Courier New"/>
        </w:rPr>
        <w:t>Comuníquese al Poder Ejecutivo.</w:t>
      </w:r>
    </w:p>
    <w:p w:rsidR="007F60C8" w:rsidRPr="00037524" w:rsidRDefault="007F60C8" w:rsidP="007F60C8">
      <w:pPr>
        <w:tabs>
          <w:tab w:val="left" w:pos="1247"/>
        </w:tabs>
        <w:spacing w:line="360" w:lineRule="auto"/>
        <w:jc w:val="both"/>
        <w:rPr>
          <w:rFonts w:ascii="Courier New" w:hAnsi="Courier New" w:cs="Courier New"/>
        </w:rPr>
      </w:pPr>
    </w:p>
    <w:p w:rsidR="0062273B" w:rsidRDefault="0062273B">
      <w:bookmarkStart w:id="0" w:name="_GoBack"/>
      <w:bookmarkEnd w:id="0"/>
    </w:p>
    <w:sectPr w:rsidR="0062273B">
      <w:footerReference w:type="even" r:id="rId5"/>
      <w:footerReference w:type="default" r:id="rId6"/>
      <w:pgSz w:w="11907" w:h="16840" w:code="9"/>
      <w:pgMar w:top="2835" w:right="851" w:bottom="1418" w:left="283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80000000" w:usb2="00000008" w:usb3="00000000" w:csb0="000001FF" w:csb1="00000000"/>
  </w:font>
  <w:font w:name="Arial">
    <w:altName w:val=" Helvetica"/>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1B" w:rsidRDefault="007F60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DF3F1B" w:rsidRDefault="007F60C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F1B" w:rsidRDefault="007F60C8">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DF3F1B" w:rsidRDefault="007F60C8">
    <w:pPr>
      <w:pStyle w:val="Piedepgina"/>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mirrorMargins/>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C8"/>
    <w:rsid w:val="005A1C7B"/>
    <w:rsid w:val="0062273B"/>
    <w:rsid w:val="007F60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C8"/>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60C8"/>
    <w:pPr>
      <w:tabs>
        <w:tab w:val="center" w:pos="4419"/>
        <w:tab w:val="right" w:pos="8838"/>
      </w:tabs>
    </w:pPr>
  </w:style>
  <w:style w:type="character" w:customStyle="1" w:styleId="PiedepginaCar">
    <w:name w:val="Pie de página Car"/>
    <w:basedOn w:val="Fuentedeprrafopredeter"/>
    <w:link w:val="Piedepgina"/>
    <w:rsid w:val="007F60C8"/>
    <w:rPr>
      <w:rFonts w:ascii="Times New Roman" w:eastAsia="Times New Roman" w:hAnsi="Times New Roman" w:cs="Times New Roman"/>
      <w:sz w:val="24"/>
      <w:szCs w:val="24"/>
      <w:lang w:eastAsia="es-ES"/>
    </w:rPr>
  </w:style>
  <w:style w:type="character" w:styleId="Nmerodepgina">
    <w:name w:val="page number"/>
    <w:basedOn w:val="Fuentedeprrafopredeter"/>
    <w:rsid w:val="007F60C8"/>
  </w:style>
  <w:style w:type="paragraph" w:styleId="Sangra2detindependiente">
    <w:name w:val="Body Text Indent 2"/>
    <w:basedOn w:val="Normal"/>
    <w:link w:val="Sangra2detindependienteCar"/>
    <w:rsid w:val="007F60C8"/>
    <w:pPr>
      <w:tabs>
        <w:tab w:val="left" w:pos="1247"/>
      </w:tabs>
      <w:spacing w:line="360" w:lineRule="auto"/>
      <w:ind w:left="567"/>
      <w:jc w:val="both"/>
    </w:pPr>
    <w:rPr>
      <w:rFonts w:ascii="Arial" w:hAnsi="Arial" w:cs="Arial"/>
    </w:rPr>
  </w:style>
  <w:style w:type="character" w:customStyle="1" w:styleId="Sangra2detindependienteCar">
    <w:name w:val="Sangría 2 de t. independiente Car"/>
    <w:basedOn w:val="Fuentedeprrafopredeter"/>
    <w:link w:val="Sangra2detindependiente"/>
    <w:rsid w:val="007F60C8"/>
    <w:rPr>
      <w:rFonts w:ascii="Arial" w:eastAsia="Times New Roman" w:hAnsi="Arial" w:cs="Arial"/>
      <w:sz w:val="24"/>
      <w:szCs w:val="24"/>
      <w:lang w:eastAsia="es-ES"/>
    </w:rPr>
  </w:style>
  <w:style w:type="paragraph" w:styleId="Textoindependiente2">
    <w:name w:val="Body Text 2"/>
    <w:basedOn w:val="Normal"/>
    <w:link w:val="Textoindependiente2Car"/>
    <w:rsid w:val="007F60C8"/>
    <w:pPr>
      <w:jc w:val="both"/>
    </w:pPr>
    <w:rPr>
      <w:rFonts w:ascii="Arial" w:hAnsi="Arial"/>
    </w:rPr>
  </w:style>
  <w:style w:type="character" w:customStyle="1" w:styleId="Textoindependiente2Car">
    <w:name w:val="Texto independiente 2 Car"/>
    <w:basedOn w:val="Fuentedeprrafopredeter"/>
    <w:link w:val="Textoindependiente2"/>
    <w:rsid w:val="007F60C8"/>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0C8"/>
    <w:pPr>
      <w:spacing w:line="240" w:lineRule="auto"/>
      <w:jc w:val="left"/>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60C8"/>
    <w:pPr>
      <w:tabs>
        <w:tab w:val="center" w:pos="4419"/>
        <w:tab w:val="right" w:pos="8838"/>
      </w:tabs>
    </w:pPr>
  </w:style>
  <w:style w:type="character" w:customStyle="1" w:styleId="PiedepginaCar">
    <w:name w:val="Pie de página Car"/>
    <w:basedOn w:val="Fuentedeprrafopredeter"/>
    <w:link w:val="Piedepgina"/>
    <w:rsid w:val="007F60C8"/>
    <w:rPr>
      <w:rFonts w:ascii="Times New Roman" w:eastAsia="Times New Roman" w:hAnsi="Times New Roman" w:cs="Times New Roman"/>
      <w:sz w:val="24"/>
      <w:szCs w:val="24"/>
      <w:lang w:eastAsia="es-ES"/>
    </w:rPr>
  </w:style>
  <w:style w:type="character" w:styleId="Nmerodepgina">
    <w:name w:val="page number"/>
    <w:basedOn w:val="Fuentedeprrafopredeter"/>
    <w:rsid w:val="007F60C8"/>
  </w:style>
  <w:style w:type="paragraph" w:styleId="Sangra2detindependiente">
    <w:name w:val="Body Text Indent 2"/>
    <w:basedOn w:val="Normal"/>
    <w:link w:val="Sangra2detindependienteCar"/>
    <w:rsid w:val="007F60C8"/>
    <w:pPr>
      <w:tabs>
        <w:tab w:val="left" w:pos="1247"/>
      </w:tabs>
      <w:spacing w:line="360" w:lineRule="auto"/>
      <w:ind w:left="567"/>
      <w:jc w:val="both"/>
    </w:pPr>
    <w:rPr>
      <w:rFonts w:ascii="Arial" w:hAnsi="Arial" w:cs="Arial"/>
    </w:rPr>
  </w:style>
  <w:style w:type="character" w:customStyle="1" w:styleId="Sangra2detindependienteCar">
    <w:name w:val="Sangría 2 de t. independiente Car"/>
    <w:basedOn w:val="Fuentedeprrafopredeter"/>
    <w:link w:val="Sangra2detindependiente"/>
    <w:rsid w:val="007F60C8"/>
    <w:rPr>
      <w:rFonts w:ascii="Arial" w:eastAsia="Times New Roman" w:hAnsi="Arial" w:cs="Arial"/>
      <w:sz w:val="24"/>
      <w:szCs w:val="24"/>
      <w:lang w:eastAsia="es-ES"/>
    </w:rPr>
  </w:style>
  <w:style w:type="paragraph" w:styleId="Textoindependiente2">
    <w:name w:val="Body Text 2"/>
    <w:basedOn w:val="Normal"/>
    <w:link w:val="Textoindependiente2Car"/>
    <w:rsid w:val="007F60C8"/>
    <w:pPr>
      <w:jc w:val="both"/>
    </w:pPr>
    <w:rPr>
      <w:rFonts w:ascii="Arial" w:hAnsi="Arial"/>
    </w:rPr>
  </w:style>
  <w:style w:type="character" w:customStyle="1" w:styleId="Textoindependiente2Car">
    <w:name w:val="Texto independiente 2 Car"/>
    <w:basedOn w:val="Fuentedeprrafopredeter"/>
    <w:link w:val="Textoindependiente2"/>
    <w:rsid w:val="007F60C8"/>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1448</Words>
  <Characters>7970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Van Der Walt</dc:creator>
  <cp:keywords/>
  <dc:description/>
  <cp:lastModifiedBy>Isabel Van Der Walt</cp:lastModifiedBy>
  <cp:revision>1</cp:revision>
  <dcterms:created xsi:type="dcterms:W3CDTF">2011-10-18T14:41:00Z</dcterms:created>
  <dcterms:modified xsi:type="dcterms:W3CDTF">2011-10-18T14:41:00Z</dcterms:modified>
</cp:coreProperties>
</file>